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5C" w:rsidRDefault="00901599" w:rsidP="00D33412">
      <w:pPr>
        <w:pStyle w:val="Title"/>
      </w:pPr>
      <w:r w:rsidRPr="00D33412">
        <w:t xml:space="preserve">Canadian </w:t>
      </w:r>
      <w:r w:rsidR="007469B8" w:rsidRPr="00D33412">
        <w:t>Guidelines for the Responsible Conduct of Field or Greenhouse Studies Inoculated with Plant Pathogens</w:t>
      </w:r>
      <w:r w:rsidR="00602F5C">
        <w:t xml:space="preserve"> </w:t>
      </w:r>
    </w:p>
    <w:p w:rsidR="007469B8" w:rsidRPr="00D33412" w:rsidRDefault="00602F5C" w:rsidP="00D33412">
      <w:pPr>
        <w:pStyle w:val="Title"/>
      </w:pPr>
      <w:r>
        <w:t xml:space="preserve">                   (Code of Practice)</w:t>
      </w:r>
    </w:p>
    <w:sdt>
      <w:sdtPr>
        <w:rPr>
          <w:rFonts w:ascii="Calibri" w:eastAsia="Calibri" w:hAnsi="Calibri" w:cs="Times New Roman"/>
          <w:b w:val="0"/>
          <w:bCs w:val="0"/>
          <w:color w:val="auto"/>
          <w:sz w:val="22"/>
          <w:szCs w:val="22"/>
          <w:lang w:val="en-CA" w:eastAsia="en-US"/>
        </w:rPr>
        <w:id w:val="-1633321959"/>
        <w:docPartObj>
          <w:docPartGallery w:val="Table of Contents"/>
          <w:docPartUnique/>
        </w:docPartObj>
      </w:sdtPr>
      <w:sdtEndPr>
        <w:rPr>
          <w:noProof/>
        </w:rPr>
      </w:sdtEndPr>
      <w:sdtContent>
        <w:p w:rsidR="003833C3" w:rsidRDefault="003833C3">
          <w:pPr>
            <w:pStyle w:val="TOCHeading"/>
          </w:pPr>
          <w:r>
            <w:t>Contents</w:t>
          </w:r>
        </w:p>
        <w:p w:rsidR="007D2513" w:rsidRDefault="003833C3">
          <w:pPr>
            <w:pStyle w:val="TOC1"/>
            <w:tabs>
              <w:tab w:val="right" w:leader="dot" w:pos="9350"/>
            </w:tabs>
            <w:rPr>
              <w:rFonts w:asciiTheme="minorHAnsi" w:eastAsiaTheme="minorEastAsia" w:hAnsiTheme="minorHAnsi" w:cstheme="minorBidi"/>
              <w:noProof/>
              <w:lang w:eastAsia="en-CA"/>
            </w:rPr>
          </w:pPr>
          <w:r>
            <w:fldChar w:fldCharType="begin"/>
          </w:r>
          <w:r>
            <w:instrText xml:space="preserve"> TOC \o "1-3" \h \z \u </w:instrText>
          </w:r>
          <w:r>
            <w:fldChar w:fldCharType="separate"/>
          </w:r>
          <w:hyperlink w:anchor="_Toc387918937" w:history="1">
            <w:r w:rsidR="007D2513" w:rsidRPr="00375DED">
              <w:rPr>
                <w:rStyle w:val="Hyperlink"/>
                <w:noProof/>
                <w:lang w:val="en-US"/>
              </w:rPr>
              <w:t>Background</w:t>
            </w:r>
            <w:r w:rsidR="007D2513">
              <w:rPr>
                <w:noProof/>
                <w:webHidden/>
              </w:rPr>
              <w:tab/>
            </w:r>
            <w:r w:rsidR="007D2513">
              <w:rPr>
                <w:noProof/>
                <w:webHidden/>
              </w:rPr>
              <w:fldChar w:fldCharType="begin"/>
            </w:r>
            <w:r w:rsidR="007D2513">
              <w:rPr>
                <w:noProof/>
                <w:webHidden/>
              </w:rPr>
              <w:instrText xml:space="preserve"> PAGEREF _Toc387918937 \h </w:instrText>
            </w:r>
            <w:r w:rsidR="007D2513">
              <w:rPr>
                <w:noProof/>
                <w:webHidden/>
              </w:rPr>
            </w:r>
            <w:r w:rsidR="007D2513">
              <w:rPr>
                <w:noProof/>
                <w:webHidden/>
              </w:rPr>
              <w:fldChar w:fldCharType="separate"/>
            </w:r>
            <w:r w:rsidR="007D2513">
              <w:rPr>
                <w:noProof/>
                <w:webHidden/>
              </w:rPr>
              <w:t>2</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38" w:history="1">
            <w:r w:rsidR="007D2513" w:rsidRPr="00375DED">
              <w:rPr>
                <w:rStyle w:val="Hyperlink"/>
                <w:noProof/>
                <w:lang w:val="en-US"/>
              </w:rPr>
              <w:t>The Objective of the Guidelines</w:t>
            </w:r>
            <w:r w:rsidR="007D2513">
              <w:rPr>
                <w:noProof/>
                <w:webHidden/>
              </w:rPr>
              <w:tab/>
            </w:r>
            <w:r w:rsidR="007D2513">
              <w:rPr>
                <w:noProof/>
                <w:webHidden/>
              </w:rPr>
              <w:fldChar w:fldCharType="begin"/>
            </w:r>
            <w:r w:rsidR="007D2513">
              <w:rPr>
                <w:noProof/>
                <w:webHidden/>
              </w:rPr>
              <w:instrText xml:space="preserve"> PAGEREF _Toc387918938 \h </w:instrText>
            </w:r>
            <w:r w:rsidR="007D2513">
              <w:rPr>
                <w:noProof/>
                <w:webHidden/>
              </w:rPr>
            </w:r>
            <w:r w:rsidR="007D2513">
              <w:rPr>
                <w:noProof/>
                <w:webHidden/>
              </w:rPr>
              <w:fldChar w:fldCharType="separate"/>
            </w:r>
            <w:r w:rsidR="007D2513">
              <w:rPr>
                <w:noProof/>
                <w:webHidden/>
              </w:rPr>
              <w:t>3</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39" w:history="1">
            <w:r w:rsidR="007D2513" w:rsidRPr="00375DED">
              <w:rPr>
                <w:rStyle w:val="Hyperlink"/>
                <w:noProof/>
                <w:lang w:val="en-US"/>
              </w:rPr>
              <w:t>Scope of the Guidelines</w:t>
            </w:r>
            <w:r w:rsidR="007D2513">
              <w:rPr>
                <w:noProof/>
                <w:webHidden/>
              </w:rPr>
              <w:tab/>
            </w:r>
            <w:r w:rsidR="007D2513">
              <w:rPr>
                <w:noProof/>
                <w:webHidden/>
              </w:rPr>
              <w:fldChar w:fldCharType="begin"/>
            </w:r>
            <w:r w:rsidR="007D2513">
              <w:rPr>
                <w:noProof/>
                <w:webHidden/>
              </w:rPr>
              <w:instrText xml:space="preserve"> PAGEREF _Toc387918939 \h </w:instrText>
            </w:r>
            <w:r w:rsidR="007D2513">
              <w:rPr>
                <w:noProof/>
                <w:webHidden/>
              </w:rPr>
            </w:r>
            <w:r w:rsidR="007D2513">
              <w:rPr>
                <w:noProof/>
                <w:webHidden/>
              </w:rPr>
              <w:fldChar w:fldCharType="separate"/>
            </w:r>
            <w:r w:rsidR="007D2513">
              <w:rPr>
                <w:noProof/>
                <w:webHidden/>
              </w:rPr>
              <w:t>4</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40" w:history="1">
            <w:r w:rsidR="007D2513" w:rsidRPr="00375DED">
              <w:rPr>
                <w:rStyle w:val="Hyperlink"/>
                <w:noProof/>
                <w:lang w:val="en-US"/>
              </w:rPr>
              <w:t>Definitions</w:t>
            </w:r>
            <w:r w:rsidR="007D2513">
              <w:rPr>
                <w:noProof/>
                <w:webHidden/>
              </w:rPr>
              <w:tab/>
            </w:r>
            <w:r w:rsidR="007D2513">
              <w:rPr>
                <w:noProof/>
                <w:webHidden/>
              </w:rPr>
              <w:fldChar w:fldCharType="begin"/>
            </w:r>
            <w:r w:rsidR="007D2513">
              <w:rPr>
                <w:noProof/>
                <w:webHidden/>
              </w:rPr>
              <w:instrText xml:space="preserve"> PAGEREF _Toc387918940 \h </w:instrText>
            </w:r>
            <w:r w:rsidR="007D2513">
              <w:rPr>
                <w:noProof/>
                <w:webHidden/>
              </w:rPr>
            </w:r>
            <w:r w:rsidR="007D2513">
              <w:rPr>
                <w:noProof/>
                <w:webHidden/>
              </w:rPr>
              <w:fldChar w:fldCharType="separate"/>
            </w:r>
            <w:r w:rsidR="007D2513">
              <w:rPr>
                <w:noProof/>
                <w:webHidden/>
              </w:rPr>
              <w:t>7</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41" w:history="1">
            <w:r w:rsidR="007D2513" w:rsidRPr="00375DED">
              <w:rPr>
                <w:rStyle w:val="Hyperlink"/>
                <w:noProof/>
                <w:lang w:val="en-US"/>
              </w:rPr>
              <w:t>Plant Pathogen Risk Assessment</w:t>
            </w:r>
            <w:r w:rsidR="007D2513">
              <w:rPr>
                <w:noProof/>
                <w:webHidden/>
              </w:rPr>
              <w:tab/>
            </w:r>
            <w:r w:rsidR="007D2513">
              <w:rPr>
                <w:noProof/>
                <w:webHidden/>
              </w:rPr>
              <w:fldChar w:fldCharType="begin"/>
            </w:r>
            <w:r w:rsidR="007D2513">
              <w:rPr>
                <w:noProof/>
                <w:webHidden/>
              </w:rPr>
              <w:instrText xml:space="preserve"> PAGEREF _Toc387918941 \h </w:instrText>
            </w:r>
            <w:r w:rsidR="007D2513">
              <w:rPr>
                <w:noProof/>
                <w:webHidden/>
              </w:rPr>
            </w:r>
            <w:r w:rsidR="007D2513">
              <w:rPr>
                <w:noProof/>
                <w:webHidden/>
              </w:rPr>
              <w:fldChar w:fldCharType="separate"/>
            </w:r>
            <w:r w:rsidR="007D2513">
              <w:rPr>
                <w:noProof/>
                <w:webHidden/>
              </w:rPr>
              <w:t>8</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2" w:history="1">
            <w:r w:rsidR="007D2513" w:rsidRPr="00375DED">
              <w:rPr>
                <w:rStyle w:val="Hyperlink"/>
                <w:noProof/>
              </w:rPr>
              <w:t>Qualifications of the Risk Assessor</w:t>
            </w:r>
            <w:r w:rsidR="007D2513">
              <w:rPr>
                <w:noProof/>
                <w:webHidden/>
              </w:rPr>
              <w:tab/>
            </w:r>
            <w:r w:rsidR="007D2513">
              <w:rPr>
                <w:noProof/>
                <w:webHidden/>
              </w:rPr>
              <w:fldChar w:fldCharType="begin"/>
            </w:r>
            <w:r w:rsidR="007D2513">
              <w:rPr>
                <w:noProof/>
                <w:webHidden/>
              </w:rPr>
              <w:instrText xml:space="preserve"> PAGEREF _Toc387918942 \h </w:instrText>
            </w:r>
            <w:r w:rsidR="007D2513">
              <w:rPr>
                <w:noProof/>
                <w:webHidden/>
              </w:rPr>
            </w:r>
            <w:r w:rsidR="007D2513">
              <w:rPr>
                <w:noProof/>
                <w:webHidden/>
              </w:rPr>
              <w:fldChar w:fldCharType="separate"/>
            </w:r>
            <w:r w:rsidR="007D2513">
              <w:rPr>
                <w:noProof/>
                <w:webHidden/>
              </w:rPr>
              <w:t>8</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3" w:history="1">
            <w:r w:rsidR="007D2513" w:rsidRPr="00375DED">
              <w:rPr>
                <w:rStyle w:val="Hyperlink"/>
                <w:noProof/>
              </w:rPr>
              <w:t>Identification and Classification of the Microorganism</w:t>
            </w:r>
            <w:r w:rsidR="007D2513">
              <w:rPr>
                <w:noProof/>
                <w:webHidden/>
              </w:rPr>
              <w:tab/>
            </w:r>
            <w:r w:rsidR="007D2513">
              <w:rPr>
                <w:noProof/>
                <w:webHidden/>
              </w:rPr>
              <w:fldChar w:fldCharType="begin"/>
            </w:r>
            <w:r w:rsidR="007D2513">
              <w:rPr>
                <w:noProof/>
                <w:webHidden/>
              </w:rPr>
              <w:instrText xml:space="preserve"> PAGEREF _Toc387918943 \h </w:instrText>
            </w:r>
            <w:r w:rsidR="007D2513">
              <w:rPr>
                <w:noProof/>
                <w:webHidden/>
              </w:rPr>
            </w:r>
            <w:r w:rsidR="007D2513">
              <w:rPr>
                <w:noProof/>
                <w:webHidden/>
              </w:rPr>
              <w:fldChar w:fldCharType="separate"/>
            </w:r>
            <w:r w:rsidR="007D2513">
              <w:rPr>
                <w:noProof/>
                <w:webHidden/>
              </w:rPr>
              <w:t>8</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44" w:history="1">
            <w:r w:rsidR="007D2513" w:rsidRPr="00375DED">
              <w:rPr>
                <w:rStyle w:val="Hyperlink"/>
                <w:noProof/>
              </w:rPr>
              <w:t>Inoculum Production and Handling</w:t>
            </w:r>
            <w:r w:rsidR="007D2513">
              <w:rPr>
                <w:noProof/>
                <w:webHidden/>
              </w:rPr>
              <w:tab/>
            </w:r>
            <w:r w:rsidR="007D2513">
              <w:rPr>
                <w:noProof/>
                <w:webHidden/>
              </w:rPr>
              <w:fldChar w:fldCharType="begin"/>
            </w:r>
            <w:r w:rsidR="007D2513">
              <w:rPr>
                <w:noProof/>
                <w:webHidden/>
              </w:rPr>
              <w:instrText xml:space="preserve"> PAGEREF _Toc387918944 \h </w:instrText>
            </w:r>
            <w:r w:rsidR="007D2513">
              <w:rPr>
                <w:noProof/>
                <w:webHidden/>
              </w:rPr>
            </w:r>
            <w:r w:rsidR="007D2513">
              <w:rPr>
                <w:noProof/>
                <w:webHidden/>
              </w:rPr>
              <w:fldChar w:fldCharType="separate"/>
            </w:r>
            <w:r w:rsidR="007D2513">
              <w:rPr>
                <w:noProof/>
                <w:webHidden/>
              </w:rPr>
              <w:t>10</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5" w:history="1">
            <w:r w:rsidR="007D2513" w:rsidRPr="00375DED">
              <w:rPr>
                <w:rStyle w:val="Hyperlink"/>
                <w:noProof/>
              </w:rPr>
              <w:t>Production Site</w:t>
            </w:r>
            <w:r w:rsidR="007D2513">
              <w:rPr>
                <w:noProof/>
                <w:webHidden/>
              </w:rPr>
              <w:tab/>
            </w:r>
            <w:r w:rsidR="007D2513">
              <w:rPr>
                <w:noProof/>
                <w:webHidden/>
              </w:rPr>
              <w:fldChar w:fldCharType="begin"/>
            </w:r>
            <w:r w:rsidR="007D2513">
              <w:rPr>
                <w:noProof/>
                <w:webHidden/>
              </w:rPr>
              <w:instrText xml:space="preserve"> PAGEREF _Toc387918945 \h </w:instrText>
            </w:r>
            <w:r w:rsidR="007D2513">
              <w:rPr>
                <w:noProof/>
                <w:webHidden/>
              </w:rPr>
            </w:r>
            <w:r w:rsidR="007D2513">
              <w:rPr>
                <w:noProof/>
                <w:webHidden/>
              </w:rPr>
              <w:fldChar w:fldCharType="separate"/>
            </w:r>
            <w:r w:rsidR="007D2513">
              <w:rPr>
                <w:noProof/>
                <w:webHidden/>
              </w:rPr>
              <w:t>10</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6" w:history="1">
            <w:r w:rsidR="007D2513" w:rsidRPr="00375DED">
              <w:rPr>
                <w:rStyle w:val="Hyperlink"/>
                <w:noProof/>
              </w:rPr>
              <w:t>Storage and Transport</w:t>
            </w:r>
            <w:r w:rsidR="007D2513">
              <w:rPr>
                <w:noProof/>
                <w:webHidden/>
              </w:rPr>
              <w:tab/>
            </w:r>
            <w:r w:rsidR="007D2513">
              <w:rPr>
                <w:noProof/>
                <w:webHidden/>
              </w:rPr>
              <w:fldChar w:fldCharType="begin"/>
            </w:r>
            <w:r w:rsidR="007D2513">
              <w:rPr>
                <w:noProof/>
                <w:webHidden/>
              </w:rPr>
              <w:instrText xml:space="preserve"> PAGEREF _Toc387918946 \h </w:instrText>
            </w:r>
            <w:r w:rsidR="007D2513">
              <w:rPr>
                <w:noProof/>
                <w:webHidden/>
              </w:rPr>
            </w:r>
            <w:r w:rsidR="007D2513">
              <w:rPr>
                <w:noProof/>
                <w:webHidden/>
              </w:rPr>
              <w:fldChar w:fldCharType="separate"/>
            </w:r>
            <w:r w:rsidR="007D2513">
              <w:rPr>
                <w:noProof/>
                <w:webHidden/>
              </w:rPr>
              <w:t>11</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47" w:history="1">
            <w:r w:rsidR="007D2513" w:rsidRPr="00375DED">
              <w:rPr>
                <w:rStyle w:val="Hyperlink"/>
                <w:noProof/>
              </w:rPr>
              <w:t>Environmental Release/Trial Inoculation</w:t>
            </w:r>
            <w:r w:rsidR="007D2513">
              <w:rPr>
                <w:noProof/>
                <w:webHidden/>
              </w:rPr>
              <w:tab/>
            </w:r>
            <w:r w:rsidR="007D2513">
              <w:rPr>
                <w:noProof/>
                <w:webHidden/>
              </w:rPr>
              <w:fldChar w:fldCharType="begin"/>
            </w:r>
            <w:r w:rsidR="007D2513">
              <w:rPr>
                <w:noProof/>
                <w:webHidden/>
              </w:rPr>
              <w:instrText xml:space="preserve"> PAGEREF _Toc387918947 \h </w:instrText>
            </w:r>
            <w:r w:rsidR="007D2513">
              <w:rPr>
                <w:noProof/>
                <w:webHidden/>
              </w:rPr>
            </w:r>
            <w:r w:rsidR="007D2513">
              <w:rPr>
                <w:noProof/>
                <w:webHidden/>
              </w:rPr>
              <w:fldChar w:fldCharType="separate"/>
            </w:r>
            <w:r w:rsidR="007D2513">
              <w:rPr>
                <w:noProof/>
                <w:webHidden/>
              </w:rPr>
              <w:t>11</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8" w:history="1">
            <w:r w:rsidR="007D2513" w:rsidRPr="00375DED">
              <w:rPr>
                <w:rStyle w:val="Hyperlink"/>
                <w:noProof/>
              </w:rPr>
              <w:t>Containment</w:t>
            </w:r>
            <w:r w:rsidR="007D2513">
              <w:rPr>
                <w:noProof/>
                <w:webHidden/>
              </w:rPr>
              <w:tab/>
            </w:r>
            <w:r w:rsidR="007D2513">
              <w:rPr>
                <w:noProof/>
                <w:webHidden/>
              </w:rPr>
              <w:fldChar w:fldCharType="begin"/>
            </w:r>
            <w:r w:rsidR="007D2513">
              <w:rPr>
                <w:noProof/>
                <w:webHidden/>
              </w:rPr>
              <w:instrText xml:space="preserve"> PAGEREF _Toc387918948 \h </w:instrText>
            </w:r>
            <w:r w:rsidR="007D2513">
              <w:rPr>
                <w:noProof/>
                <w:webHidden/>
              </w:rPr>
            </w:r>
            <w:r w:rsidR="007D2513">
              <w:rPr>
                <w:noProof/>
                <w:webHidden/>
              </w:rPr>
              <w:fldChar w:fldCharType="separate"/>
            </w:r>
            <w:r w:rsidR="007D2513">
              <w:rPr>
                <w:noProof/>
                <w:webHidden/>
              </w:rPr>
              <w:t>12</w:t>
            </w:r>
            <w:r w:rsidR="007D2513">
              <w:rPr>
                <w:noProof/>
                <w:webHidden/>
              </w:rPr>
              <w:fldChar w:fldCharType="end"/>
            </w:r>
          </w:hyperlink>
        </w:p>
        <w:p w:rsidR="007D2513" w:rsidRDefault="00602F5C">
          <w:pPr>
            <w:pStyle w:val="TOC2"/>
            <w:tabs>
              <w:tab w:val="right" w:leader="dot" w:pos="9350"/>
            </w:tabs>
            <w:rPr>
              <w:rFonts w:asciiTheme="minorHAnsi" w:eastAsiaTheme="minorEastAsia" w:hAnsiTheme="minorHAnsi" w:cstheme="minorBidi"/>
              <w:noProof/>
              <w:lang w:eastAsia="en-CA"/>
            </w:rPr>
          </w:pPr>
          <w:hyperlink w:anchor="_Toc387918949" w:history="1">
            <w:r w:rsidR="007D2513" w:rsidRPr="00375DED">
              <w:rPr>
                <w:rStyle w:val="Hyperlink"/>
                <w:noProof/>
              </w:rPr>
              <w:t>Additional Exposure Considerations</w:t>
            </w:r>
            <w:r w:rsidR="007D2513">
              <w:rPr>
                <w:noProof/>
                <w:webHidden/>
              </w:rPr>
              <w:tab/>
            </w:r>
            <w:r w:rsidR="007D2513">
              <w:rPr>
                <w:noProof/>
                <w:webHidden/>
              </w:rPr>
              <w:fldChar w:fldCharType="begin"/>
            </w:r>
            <w:r w:rsidR="007D2513">
              <w:rPr>
                <w:noProof/>
                <w:webHidden/>
              </w:rPr>
              <w:instrText xml:space="preserve"> PAGEREF _Toc387918949 \h </w:instrText>
            </w:r>
            <w:r w:rsidR="007D2513">
              <w:rPr>
                <w:noProof/>
                <w:webHidden/>
              </w:rPr>
            </w:r>
            <w:r w:rsidR="007D2513">
              <w:rPr>
                <w:noProof/>
                <w:webHidden/>
              </w:rPr>
              <w:fldChar w:fldCharType="separate"/>
            </w:r>
            <w:r w:rsidR="007D2513">
              <w:rPr>
                <w:noProof/>
                <w:webHidden/>
              </w:rPr>
              <w:t>13</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50" w:history="1">
            <w:r w:rsidR="007D2513" w:rsidRPr="00375DED">
              <w:rPr>
                <w:rStyle w:val="Hyperlink"/>
                <w:noProof/>
              </w:rPr>
              <w:t>Guidelines for use of Microorganisms in Greenhouses</w:t>
            </w:r>
            <w:r w:rsidR="007D2513">
              <w:rPr>
                <w:noProof/>
                <w:webHidden/>
              </w:rPr>
              <w:tab/>
            </w:r>
            <w:r w:rsidR="007D2513">
              <w:rPr>
                <w:noProof/>
                <w:webHidden/>
              </w:rPr>
              <w:fldChar w:fldCharType="begin"/>
            </w:r>
            <w:r w:rsidR="007D2513">
              <w:rPr>
                <w:noProof/>
                <w:webHidden/>
              </w:rPr>
              <w:instrText xml:space="preserve"> PAGEREF _Toc387918950 \h </w:instrText>
            </w:r>
            <w:r w:rsidR="007D2513">
              <w:rPr>
                <w:noProof/>
                <w:webHidden/>
              </w:rPr>
            </w:r>
            <w:r w:rsidR="007D2513">
              <w:rPr>
                <w:noProof/>
                <w:webHidden/>
              </w:rPr>
              <w:fldChar w:fldCharType="separate"/>
            </w:r>
            <w:r w:rsidR="007D2513">
              <w:rPr>
                <w:noProof/>
                <w:webHidden/>
              </w:rPr>
              <w:t>13</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51" w:history="1">
            <w:r w:rsidR="007D2513" w:rsidRPr="00375DED">
              <w:rPr>
                <w:rStyle w:val="Hyperlink"/>
                <w:noProof/>
                <w:lang w:eastAsia="en-CA"/>
              </w:rPr>
              <w:t>Appendix I. Contributors</w:t>
            </w:r>
            <w:r w:rsidR="007D2513">
              <w:rPr>
                <w:noProof/>
                <w:webHidden/>
              </w:rPr>
              <w:tab/>
            </w:r>
            <w:r w:rsidR="007D2513">
              <w:rPr>
                <w:noProof/>
                <w:webHidden/>
              </w:rPr>
              <w:fldChar w:fldCharType="begin"/>
            </w:r>
            <w:r w:rsidR="007D2513">
              <w:rPr>
                <w:noProof/>
                <w:webHidden/>
              </w:rPr>
              <w:instrText xml:space="preserve"> PAGEREF _Toc387918951 \h </w:instrText>
            </w:r>
            <w:r w:rsidR="007D2513">
              <w:rPr>
                <w:noProof/>
                <w:webHidden/>
              </w:rPr>
            </w:r>
            <w:r w:rsidR="007D2513">
              <w:rPr>
                <w:noProof/>
                <w:webHidden/>
              </w:rPr>
              <w:fldChar w:fldCharType="separate"/>
            </w:r>
            <w:r w:rsidR="007D2513">
              <w:rPr>
                <w:noProof/>
                <w:webHidden/>
              </w:rPr>
              <w:t>15</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52" w:history="1">
            <w:r w:rsidR="007D2513" w:rsidRPr="00375DED">
              <w:rPr>
                <w:rStyle w:val="Hyperlink"/>
                <w:noProof/>
              </w:rPr>
              <w:t>Appendix II: Identification and Taxonomic Classification of Microorganisms</w:t>
            </w:r>
            <w:r w:rsidR="007D2513">
              <w:rPr>
                <w:noProof/>
                <w:webHidden/>
              </w:rPr>
              <w:tab/>
            </w:r>
            <w:r w:rsidR="007D2513">
              <w:rPr>
                <w:noProof/>
                <w:webHidden/>
              </w:rPr>
              <w:fldChar w:fldCharType="begin"/>
            </w:r>
            <w:r w:rsidR="007D2513">
              <w:rPr>
                <w:noProof/>
                <w:webHidden/>
              </w:rPr>
              <w:instrText xml:space="preserve"> PAGEREF _Toc387918952 \h </w:instrText>
            </w:r>
            <w:r w:rsidR="007D2513">
              <w:rPr>
                <w:noProof/>
                <w:webHidden/>
              </w:rPr>
            </w:r>
            <w:r w:rsidR="007D2513">
              <w:rPr>
                <w:noProof/>
                <w:webHidden/>
              </w:rPr>
              <w:fldChar w:fldCharType="separate"/>
            </w:r>
            <w:r w:rsidR="007D2513">
              <w:rPr>
                <w:noProof/>
                <w:webHidden/>
              </w:rPr>
              <w:t>16</w:t>
            </w:r>
            <w:r w:rsidR="007D2513">
              <w:rPr>
                <w:noProof/>
                <w:webHidden/>
              </w:rPr>
              <w:fldChar w:fldCharType="end"/>
            </w:r>
          </w:hyperlink>
        </w:p>
        <w:p w:rsidR="007D2513" w:rsidRDefault="00602F5C">
          <w:pPr>
            <w:pStyle w:val="TOC1"/>
            <w:tabs>
              <w:tab w:val="right" w:leader="dot" w:pos="9350"/>
            </w:tabs>
            <w:rPr>
              <w:rFonts w:asciiTheme="minorHAnsi" w:eastAsiaTheme="minorEastAsia" w:hAnsiTheme="minorHAnsi" w:cstheme="minorBidi"/>
              <w:noProof/>
              <w:lang w:eastAsia="en-CA"/>
            </w:rPr>
          </w:pPr>
          <w:hyperlink w:anchor="_Toc387918953" w:history="1">
            <w:r w:rsidR="007D2513" w:rsidRPr="00375DED">
              <w:rPr>
                <w:rStyle w:val="Hyperlink"/>
                <w:noProof/>
                <w:lang w:val="en-US"/>
              </w:rPr>
              <w:t>References</w:t>
            </w:r>
            <w:r w:rsidR="007D2513">
              <w:rPr>
                <w:noProof/>
                <w:webHidden/>
              </w:rPr>
              <w:tab/>
            </w:r>
            <w:r w:rsidR="007D2513">
              <w:rPr>
                <w:noProof/>
                <w:webHidden/>
              </w:rPr>
              <w:fldChar w:fldCharType="begin"/>
            </w:r>
            <w:r w:rsidR="007D2513">
              <w:rPr>
                <w:noProof/>
                <w:webHidden/>
              </w:rPr>
              <w:instrText xml:space="preserve"> PAGEREF _Toc387918953 \h </w:instrText>
            </w:r>
            <w:r w:rsidR="007D2513">
              <w:rPr>
                <w:noProof/>
                <w:webHidden/>
              </w:rPr>
            </w:r>
            <w:r w:rsidR="007D2513">
              <w:rPr>
                <w:noProof/>
                <w:webHidden/>
              </w:rPr>
              <w:fldChar w:fldCharType="separate"/>
            </w:r>
            <w:r w:rsidR="007D2513">
              <w:rPr>
                <w:noProof/>
                <w:webHidden/>
              </w:rPr>
              <w:t>18</w:t>
            </w:r>
            <w:r w:rsidR="007D2513">
              <w:rPr>
                <w:noProof/>
                <w:webHidden/>
              </w:rPr>
              <w:fldChar w:fldCharType="end"/>
            </w:r>
          </w:hyperlink>
        </w:p>
        <w:p w:rsidR="003833C3" w:rsidRDefault="003833C3">
          <w:r>
            <w:rPr>
              <w:b/>
              <w:bCs/>
              <w:noProof/>
            </w:rPr>
            <w:fldChar w:fldCharType="end"/>
          </w:r>
        </w:p>
      </w:sdtContent>
    </w:sdt>
    <w:p w:rsidR="003833C3" w:rsidRDefault="003833C3">
      <w:pPr>
        <w:spacing w:after="0" w:line="240" w:lineRule="auto"/>
        <w:rPr>
          <w:rFonts w:ascii="Cambria" w:eastAsia="Times New Roman" w:hAnsi="Cambria"/>
          <w:b/>
          <w:bCs/>
          <w:color w:val="365F91"/>
          <w:sz w:val="28"/>
          <w:szCs w:val="28"/>
          <w:lang w:val="en-US"/>
        </w:rPr>
      </w:pPr>
      <w:r>
        <w:rPr>
          <w:lang w:val="en-US"/>
        </w:rPr>
        <w:br w:type="page"/>
      </w:r>
      <w:bookmarkStart w:id="0" w:name="_GoBack"/>
      <w:bookmarkEnd w:id="0"/>
    </w:p>
    <w:p w:rsidR="007469B8" w:rsidRDefault="007469B8" w:rsidP="007F2506">
      <w:pPr>
        <w:pStyle w:val="Heading1"/>
        <w:rPr>
          <w:lang w:val="en-US"/>
        </w:rPr>
      </w:pPr>
      <w:bookmarkStart w:id="1" w:name="_Toc387918937"/>
      <w:r>
        <w:rPr>
          <w:lang w:val="en-US"/>
        </w:rPr>
        <w:lastRenderedPageBreak/>
        <w:t>Background</w:t>
      </w:r>
      <w:bookmarkEnd w:id="1"/>
      <w:r>
        <w:rPr>
          <w:lang w:val="en-US"/>
        </w:rPr>
        <w:t xml:space="preserve"> </w:t>
      </w:r>
    </w:p>
    <w:p w:rsidR="005C0094" w:rsidRDefault="007469B8" w:rsidP="005C0094">
      <w:pPr>
        <w:rPr>
          <w:sz w:val="24"/>
          <w:szCs w:val="24"/>
          <w:lang w:val="en-US"/>
        </w:rPr>
      </w:pPr>
      <w:r>
        <w:rPr>
          <w:rFonts w:cs="Calibri"/>
          <w:color w:val="000000"/>
          <w:sz w:val="24"/>
          <w:szCs w:val="24"/>
        </w:rPr>
        <w:t>New diseases and changes in existing pathogens represent ongoing threat</w:t>
      </w:r>
      <w:r w:rsidR="00087C14">
        <w:rPr>
          <w:rFonts w:cs="Calibri"/>
          <w:color w:val="000000"/>
          <w:sz w:val="24"/>
          <w:szCs w:val="24"/>
        </w:rPr>
        <w:t>s</w:t>
      </w:r>
      <w:r>
        <w:rPr>
          <w:rFonts w:cs="Calibri"/>
          <w:color w:val="000000"/>
          <w:sz w:val="24"/>
          <w:szCs w:val="24"/>
        </w:rPr>
        <w:t xml:space="preserve"> to agricultural production, forestry, and the environment more broadly. </w:t>
      </w:r>
      <w:proofErr w:type="spellStart"/>
      <w:r>
        <w:rPr>
          <w:rFonts w:cs="Calibri"/>
          <w:color w:val="000000"/>
          <w:sz w:val="24"/>
          <w:szCs w:val="24"/>
        </w:rPr>
        <w:t>Phytopathological</w:t>
      </w:r>
      <w:proofErr w:type="spellEnd"/>
      <w:r>
        <w:rPr>
          <w:rFonts w:cs="Calibri"/>
          <w:color w:val="000000"/>
          <w:sz w:val="24"/>
          <w:szCs w:val="24"/>
        </w:rPr>
        <w:t xml:space="preserve"> research plays an instrumental role in developing new and innovative ways to </w:t>
      </w:r>
      <w:r w:rsidR="00600E0D">
        <w:rPr>
          <w:rFonts w:cs="Calibri"/>
          <w:color w:val="000000"/>
          <w:sz w:val="24"/>
          <w:szCs w:val="24"/>
        </w:rPr>
        <w:t xml:space="preserve">manage </w:t>
      </w:r>
      <w:r>
        <w:rPr>
          <w:rFonts w:cs="Calibri"/>
          <w:color w:val="000000"/>
          <w:sz w:val="24"/>
          <w:szCs w:val="24"/>
        </w:rPr>
        <w:t xml:space="preserve">plant diseases and </w:t>
      </w:r>
      <w:r w:rsidR="00600E0D">
        <w:rPr>
          <w:rFonts w:cs="Calibri"/>
          <w:color w:val="000000"/>
          <w:sz w:val="24"/>
          <w:szCs w:val="24"/>
        </w:rPr>
        <w:t xml:space="preserve">reduce the impact of </w:t>
      </w:r>
      <w:r w:rsidR="004838DD">
        <w:rPr>
          <w:rFonts w:cs="Calibri"/>
          <w:color w:val="000000"/>
          <w:sz w:val="24"/>
          <w:szCs w:val="24"/>
        </w:rPr>
        <w:t>pathogens</w:t>
      </w:r>
      <w:r w:rsidR="00600E0D">
        <w:rPr>
          <w:rFonts w:cs="Calibri"/>
          <w:color w:val="000000"/>
          <w:sz w:val="24"/>
          <w:szCs w:val="24"/>
        </w:rPr>
        <w:t xml:space="preserve"> and other pests on yield stability, economic sustainability, consumer safety, and the health and diversity of the environment</w:t>
      </w:r>
      <w:r>
        <w:rPr>
          <w:rFonts w:cs="Calibri"/>
          <w:color w:val="000000"/>
          <w:sz w:val="24"/>
          <w:szCs w:val="24"/>
        </w:rPr>
        <w:t xml:space="preserve">. </w:t>
      </w:r>
      <w:r w:rsidR="005C0094" w:rsidRPr="002D2880">
        <w:rPr>
          <w:sz w:val="24"/>
          <w:szCs w:val="24"/>
          <w:lang w:val="en-US"/>
        </w:rPr>
        <w:t xml:space="preserve">The work conducted by plant pathologists in Canada </w:t>
      </w:r>
      <w:r w:rsidR="005C0094">
        <w:rPr>
          <w:sz w:val="24"/>
          <w:szCs w:val="24"/>
          <w:lang w:val="en-US"/>
        </w:rPr>
        <w:t xml:space="preserve">leads to the development of new and improved disease management strategies that </w:t>
      </w:r>
      <w:r w:rsidR="005C0094" w:rsidRPr="002D2880">
        <w:rPr>
          <w:sz w:val="24"/>
          <w:szCs w:val="24"/>
          <w:lang w:val="en-US"/>
        </w:rPr>
        <w:t>reduce the threat of disease epidemic</w:t>
      </w:r>
      <w:r w:rsidR="005C0094">
        <w:rPr>
          <w:sz w:val="24"/>
          <w:szCs w:val="24"/>
          <w:lang w:val="en-US"/>
        </w:rPr>
        <w:t>s</w:t>
      </w:r>
      <w:r w:rsidR="005C0094" w:rsidRPr="002D2880">
        <w:rPr>
          <w:sz w:val="24"/>
          <w:szCs w:val="24"/>
          <w:lang w:val="en-US"/>
        </w:rPr>
        <w:t xml:space="preserve"> </w:t>
      </w:r>
      <w:r w:rsidR="005C0094">
        <w:rPr>
          <w:sz w:val="24"/>
          <w:szCs w:val="24"/>
          <w:lang w:val="en-US"/>
        </w:rPr>
        <w:t>in</w:t>
      </w:r>
      <w:r w:rsidR="005C0094" w:rsidRPr="002D2880">
        <w:rPr>
          <w:sz w:val="24"/>
          <w:szCs w:val="24"/>
          <w:lang w:val="en-US"/>
        </w:rPr>
        <w:t xml:space="preserve"> agricultural production</w:t>
      </w:r>
      <w:r w:rsidR="005C0094">
        <w:rPr>
          <w:sz w:val="24"/>
          <w:szCs w:val="24"/>
          <w:lang w:val="en-US"/>
        </w:rPr>
        <w:t xml:space="preserve"> and help to reduce the environmental footprint as a consequence of farm pesticide application.  </w:t>
      </w:r>
    </w:p>
    <w:p w:rsidR="007469B8" w:rsidRPr="00B47C24" w:rsidRDefault="007469B8" w:rsidP="001B3D2F">
      <w:pPr>
        <w:rPr>
          <w:rFonts w:cs="Calibri"/>
          <w:color w:val="000000"/>
          <w:sz w:val="24"/>
          <w:szCs w:val="24"/>
        </w:rPr>
      </w:pPr>
      <w:r>
        <w:rPr>
          <w:rFonts w:cs="Calibri"/>
          <w:color w:val="000000"/>
          <w:sz w:val="24"/>
          <w:szCs w:val="24"/>
        </w:rPr>
        <w:t xml:space="preserve">Research trials involving inoculum production and manual inoculation </w:t>
      </w:r>
      <w:r w:rsidRPr="00B47C24">
        <w:rPr>
          <w:rFonts w:cs="Calibri"/>
          <w:color w:val="000000"/>
          <w:sz w:val="24"/>
          <w:szCs w:val="24"/>
        </w:rPr>
        <w:t>of plant pathogens have been</w:t>
      </w:r>
      <w:r>
        <w:rPr>
          <w:rFonts w:cs="Calibri"/>
          <w:color w:val="000000"/>
          <w:sz w:val="24"/>
          <w:szCs w:val="24"/>
        </w:rPr>
        <w:t xml:space="preserve"> a standard</w:t>
      </w:r>
      <w:r w:rsidRPr="00B47C24">
        <w:rPr>
          <w:rFonts w:cs="Calibri"/>
          <w:color w:val="000000"/>
          <w:sz w:val="24"/>
          <w:szCs w:val="24"/>
        </w:rPr>
        <w:t xml:space="preserve"> part of phyt</w:t>
      </w:r>
      <w:r>
        <w:rPr>
          <w:rFonts w:cs="Calibri"/>
          <w:color w:val="000000"/>
          <w:sz w:val="24"/>
          <w:szCs w:val="24"/>
        </w:rPr>
        <w:t xml:space="preserve">opathology research </w:t>
      </w:r>
      <w:r w:rsidR="00EC2A7F">
        <w:rPr>
          <w:rFonts w:cs="Calibri"/>
          <w:color w:val="000000"/>
          <w:sz w:val="24"/>
          <w:szCs w:val="24"/>
        </w:rPr>
        <w:t xml:space="preserve">since the mid eighteenth century when, in 1755, </w:t>
      </w:r>
      <w:proofErr w:type="spellStart"/>
      <w:r w:rsidR="00EC2A7F">
        <w:rPr>
          <w:rFonts w:cs="Calibri"/>
          <w:color w:val="000000"/>
          <w:sz w:val="24"/>
          <w:szCs w:val="24"/>
        </w:rPr>
        <w:t>Tillet</w:t>
      </w:r>
      <w:proofErr w:type="spellEnd"/>
      <w:r w:rsidR="00EC2A7F">
        <w:rPr>
          <w:rFonts w:cs="Calibri"/>
          <w:color w:val="000000"/>
          <w:sz w:val="24"/>
          <w:szCs w:val="24"/>
        </w:rPr>
        <w:t xml:space="preserve"> demonstrated that black dust carried by wheat seeds was a factor in the spread of bunt </w:t>
      </w:r>
      <w:r w:rsidR="003716DB">
        <w:rPr>
          <w:rFonts w:cs="Calibri"/>
          <w:color w:val="000000"/>
          <w:sz w:val="24"/>
          <w:szCs w:val="24"/>
        </w:rPr>
        <w:fldChar w:fldCharType="begin"/>
      </w:r>
      <w:r w:rsidR="003716DB">
        <w:rPr>
          <w:rFonts w:cs="Calibri"/>
          <w:color w:val="000000"/>
          <w:sz w:val="24"/>
          <w:szCs w:val="24"/>
        </w:rPr>
        <w:instrText xml:space="preserve"> ADDIN EN.CITE &lt;EndNote&gt;&lt;Cite&gt;&lt;Author&gt;Kulik&lt;/Author&gt;&lt;Year&gt;1984&lt;/Year&gt;&lt;RecNum&gt;1364&lt;/RecNum&gt;&lt;Prefix&gt;reviewed in &lt;/Prefix&gt;&lt;DisplayText&gt;[reviewed in 1]&lt;/DisplayText&gt;&lt;record&gt;&lt;rec-number&gt;1364&lt;/rec-number&gt;&lt;foreign-keys&gt;&lt;key app="EN" db-id="arwppdvwa5a2xue5ttppdv2o25d0evt5rrav"&gt;1364&lt;/key&gt;&lt;/foreign-keys&gt;&lt;ref-type name="Journal Article"&gt;17&lt;/ref-type&gt;&lt;contributors&gt;&lt;authors&gt;&lt;author&gt;Kulik, M.M.&lt;/author&gt;&lt;author&gt;Stanwood, P.C.&lt;/author&gt;&lt;/authors&gt;&lt;/contributors&gt;&lt;titles&gt;&lt;title&gt;Horticultural seed pathology - an introduction&lt;/title&gt;&lt;secondary-title&gt;Journal of seed technology&lt;/secondary-title&gt;&lt;/titles&gt;&lt;periodical&gt;&lt;full-title&gt;Journal of seed technology&lt;/full-title&gt;&lt;/periodical&gt;&lt;pages&gt;1-19&lt;/pages&gt;&lt;volume&gt;9&lt;/volume&gt;&lt;number&gt;1&lt;/number&gt;&lt;dates&gt;&lt;year&gt;1984&lt;/year&gt;&lt;/dates&gt;&lt;isbn&gt;0146-3071&lt;/isbn&gt;&lt;urls&gt;&lt;related-urls&gt;&lt;url&gt;http://www.jstor.org/discover/10.2307/23432680?uid=3739448&amp;amp;uid=2129&amp;amp;uid=2134&amp;amp;uid=2&amp;amp;uid=70&amp;amp;uid=3737720&amp;amp;uid=4&amp;amp;sid=21103824119607&lt;/url&gt;&lt;/related-urls&gt;&lt;/urls&gt;&lt;/record&gt;&lt;/Cite&gt;&lt;/EndNote&gt;</w:instrText>
      </w:r>
      <w:r w:rsidR="003716DB">
        <w:rPr>
          <w:rFonts w:cs="Calibri"/>
          <w:color w:val="000000"/>
          <w:sz w:val="24"/>
          <w:szCs w:val="24"/>
        </w:rPr>
        <w:fldChar w:fldCharType="separate"/>
      </w:r>
      <w:r w:rsidR="003716DB">
        <w:rPr>
          <w:rFonts w:cs="Calibri"/>
          <w:noProof/>
          <w:color w:val="000000"/>
          <w:sz w:val="24"/>
          <w:szCs w:val="24"/>
        </w:rPr>
        <w:t>[</w:t>
      </w:r>
      <w:hyperlink w:anchor="_ENREF_1" w:tooltip="Kulik, 1984 #1364" w:history="1">
        <w:r w:rsidR="002223E5">
          <w:rPr>
            <w:rFonts w:cs="Calibri"/>
            <w:noProof/>
            <w:color w:val="000000"/>
            <w:sz w:val="24"/>
            <w:szCs w:val="24"/>
          </w:rPr>
          <w:t>reviewed in 1</w:t>
        </w:r>
      </w:hyperlink>
      <w:r w:rsidR="003716DB">
        <w:rPr>
          <w:rFonts w:cs="Calibri"/>
          <w:noProof/>
          <w:color w:val="000000"/>
          <w:sz w:val="24"/>
          <w:szCs w:val="24"/>
        </w:rPr>
        <w:t>]</w:t>
      </w:r>
      <w:r w:rsidR="003716DB">
        <w:rPr>
          <w:rFonts w:cs="Calibri"/>
          <w:color w:val="000000"/>
          <w:sz w:val="24"/>
          <w:szCs w:val="24"/>
        </w:rPr>
        <w:fldChar w:fldCharType="end"/>
      </w:r>
      <w:r>
        <w:rPr>
          <w:rFonts w:cs="Calibri"/>
          <w:color w:val="000000"/>
          <w:sz w:val="24"/>
          <w:szCs w:val="24"/>
        </w:rPr>
        <w:t>.</w:t>
      </w:r>
      <w:r w:rsidRPr="00B47C24">
        <w:rPr>
          <w:rFonts w:cs="Calibri"/>
          <w:color w:val="000000"/>
          <w:sz w:val="24"/>
          <w:szCs w:val="24"/>
        </w:rPr>
        <w:t xml:space="preserve"> These types of trials are conducted to</w:t>
      </w:r>
      <w:r w:rsidR="00600E0D">
        <w:rPr>
          <w:rFonts w:cs="Calibri"/>
          <w:color w:val="000000"/>
          <w:sz w:val="24"/>
          <w:szCs w:val="24"/>
        </w:rPr>
        <w:t xml:space="preserve"> answer a wide range of research questions and address a broad array of issues, including</w:t>
      </w:r>
      <w:r w:rsidRPr="00B47C24">
        <w:rPr>
          <w:rFonts w:cs="Calibri"/>
          <w:color w:val="000000"/>
          <w:sz w:val="24"/>
          <w:szCs w:val="24"/>
        </w:rPr>
        <w:t xml:space="preserve"> plant disease epidemiology, develop</w:t>
      </w:r>
      <w:r w:rsidR="00600E0D">
        <w:rPr>
          <w:rFonts w:cs="Calibri"/>
          <w:color w:val="000000"/>
          <w:sz w:val="24"/>
          <w:szCs w:val="24"/>
        </w:rPr>
        <w:t>ment of</w:t>
      </w:r>
      <w:r w:rsidRPr="00B47C24">
        <w:rPr>
          <w:rFonts w:cs="Calibri"/>
          <w:color w:val="000000"/>
          <w:sz w:val="24"/>
          <w:szCs w:val="24"/>
        </w:rPr>
        <w:t xml:space="preserve"> resistant varieties</w:t>
      </w:r>
      <w:r w:rsidR="00600E0D">
        <w:rPr>
          <w:rFonts w:cs="Calibri"/>
          <w:color w:val="000000"/>
          <w:sz w:val="24"/>
          <w:szCs w:val="24"/>
        </w:rPr>
        <w:t>/cultivars,</w:t>
      </w:r>
      <w:r w:rsidRPr="00B47C24">
        <w:rPr>
          <w:rFonts w:cs="Calibri"/>
          <w:color w:val="000000"/>
          <w:sz w:val="24"/>
          <w:szCs w:val="24"/>
        </w:rPr>
        <w:t xml:space="preserve"> and </w:t>
      </w:r>
      <w:r w:rsidRPr="00484A07">
        <w:rPr>
          <w:rFonts w:cs="Calibri"/>
          <w:color w:val="000000"/>
          <w:sz w:val="24"/>
          <w:szCs w:val="24"/>
        </w:rPr>
        <w:t>evaluat</w:t>
      </w:r>
      <w:r w:rsidR="00600E0D">
        <w:rPr>
          <w:rFonts w:cs="Calibri"/>
          <w:color w:val="000000"/>
          <w:sz w:val="24"/>
          <w:szCs w:val="24"/>
        </w:rPr>
        <w:t>ion of</w:t>
      </w:r>
      <w:r w:rsidRPr="00484A07">
        <w:rPr>
          <w:rFonts w:cs="Calibri"/>
          <w:color w:val="000000"/>
          <w:sz w:val="24"/>
          <w:szCs w:val="24"/>
        </w:rPr>
        <w:t xml:space="preserve"> crop protection products. </w:t>
      </w:r>
    </w:p>
    <w:p w:rsidR="007469B8" w:rsidRPr="00B47C24" w:rsidRDefault="007469B8" w:rsidP="001B3D2F">
      <w:pPr>
        <w:rPr>
          <w:sz w:val="24"/>
          <w:szCs w:val="24"/>
          <w:lang w:val="en-US"/>
        </w:rPr>
      </w:pPr>
      <w:r w:rsidRPr="00B47C24">
        <w:rPr>
          <w:sz w:val="24"/>
          <w:szCs w:val="24"/>
          <w:lang w:val="en-US"/>
        </w:rPr>
        <w:t xml:space="preserve">Studies under controlled conditions and in laboratories </w:t>
      </w:r>
      <w:r w:rsidR="008763B3">
        <w:rPr>
          <w:sz w:val="24"/>
          <w:szCs w:val="24"/>
          <w:lang w:val="en-US"/>
        </w:rPr>
        <w:t>provide important insights into</w:t>
      </w:r>
      <w:r w:rsidRPr="00B47C24">
        <w:rPr>
          <w:sz w:val="24"/>
          <w:szCs w:val="24"/>
          <w:lang w:val="en-US"/>
        </w:rPr>
        <w:t xml:space="preserve"> </w:t>
      </w:r>
      <w:r w:rsidR="00285630">
        <w:rPr>
          <w:sz w:val="24"/>
          <w:szCs w:val="24"/>
          <w:lang w:val="en-US"/>
        </w:rPr>
        <w:t>specific</w:t>
      </w:r>
      <w:r w:rsidRPr="00B47C24">
        <w:rPr>
          <w:sz w:val="24"/>
          <w:szCs w:val="24"/>
          <w:lang w:val="en-US"/>
        </w:rPr>
        <w:t xml:space="preserve"> components of the disease cycle and the </w:t>
      </w:r>
      <w:r w:rsidR="008763B3">
        <w:rPr>
          <w:sz w:val="24"/>
          <w:szCs w:val="24"/>
          <w:lang w:val="en-US"/>
        </w:rPr>
        <w:t>factors</w:t>
      </w:r>
      <w:r w:rsidR="008763B3" w:rsidRPr="00B47C24">
        <w:rPr>
          <w:sz w:val="24"/>
          <w:szCs w:val="24"/>
          <w:lang w:val="en-US"/>
        </w:rPr>
        <w:t xml:space="preserve"> </w:t>
      </w:r>
      <w:r w:rsidRPr="00B47C24">
        <w:rPr>
          <w:sz w:val="24"/>
          <w:szCs w:val="24"/>
          <w:lang w:val="en-US"/>
        </w:rPr>
        <w:t xml:space="preserve">that affect </w:t>
      </w:r>
      <w:r w:rsidR="008763B3">
        <w:rPr>
          <w:sz w:val="24"/>
          <w:szCs w:val="24"/>
          <w:lang w:val="en-US"/>
        </w:rPr>
        <w:t>infection, symptom development, and epidemiology</w:t>
      </w:r>
      <w:r w:rsidRPr="00B47C24">
        <w:rPr>
          <w:sz w:val="24"/>
          <w:szCs w:val="24"/>
          <w:lang w:val="en-US"/>
        </w:rPr>
        <w:t xml:space="preserve">.  </w:t>
      </w:r>
      <w:r w:rsidR="008763B3">
        <w:rPr>
          <w:sz w:val="24"/>
          <w:szCs w:val="24"/>
          <w:lang w:val="en-US"/>
        </w:rPr>
        <w:t>While important, s</w:t>
      </w:r>
      <w:r w:rsidRPr="00B47C24">
        <w:rPr>
          <w:sz w:val="24"/>
          <w:szCs w:val="24"/>
          <w:lang w:val="en-US"/>
        </w:rPr>
        <w:t xml:space="preserve">tudies of this nature have </w:t>
      </w:r>
      <w:r w:rsidR="008763B3">
        <w:rPr>
          <w:sz w:val="24"/>
          <w:szCs w:val="24"/>
          <w:lang w:val="en-US"/>
        </w:rPr>
        <w:t>significant</w:t>
      </w:r>
      <w:r w:rsidR="008763B3" w:rsidRPr="00B47C24">
        <w:rPr>
          <w:sz w:val="24"/>
          <w:szCs w:val="24"/>
          <w:lang w:val="en-US"/>
        </w:rPr>
        <w:t xml:space="preserve"> </w:t>
      </w:r>
      <w:r w:rsidRPr="00B47C24">
        <w:rPr>
          <w:sz w:val="24"/>
          <w:szCs w:val="24"/>
          <w:lang w:val="en-US"/>
        </w:rPr>
        <w:t xml:space="preserve">limitations </w:t>
      </w:r>
      <w:r w:rsidR="008763B3">
        <w:rPr>
          <w:sz w:val="24"/>
          <w:szCs w:val="24"/>
          <w:lang w:val="en-US"/>
        </w:rPr>
        <w:t>since</w:t>
      </w:r>
      <w:r w:rsidR="008763B3" w:rsidRPr="00B47C24">
        <w:rPr>
          <w:sz w:val="24"/>
          <w:szCs w:val="24"/>
          <w:lang w:val="en-US"/>
        </w:rPr>
        <w:t xml:space="preserve"> </w:t>
      </w:r>
      <w:r w:rsidRPr="00B47C24">
        <w:rPr>
          <w:sz w:val="24"/>
          <w:szCs w:val="24"/>
          <w:lang w:val="en-US"/>
        </w:rPr>
        <w:t>they examine the reaction of individual plants</w:t>
      </w:r>
      <w:r w:rsidR="008763B3">
        <w:rPr>
          <w:sz w:val="24"/>
          <w:szCs w:val="24"/>
          <w:lang w:val="en-US"/>
        </w:rPr>
        <w:t xml:space="preserve"> as isolates rather than</w:t>
      </w:r>
      <w:r w:rsidRPr="00B47C24">
        <w:rPr>
          <w:sz w:val="24"/>
          <w:szCs w:val="24"/>
          <w:lang w:val="en-US"/>
        </w:rPr>
        <w:t xml:space="preserve"> population</w:t>
      </w:r>
      <w:r w:rsidR="008763B3">
        <w:rPr>
          <w:sz w:val="24"/>
          <w:szCs w:val="24"/>
          <w:lang w:val="en-US"/>
        </w:rPr>
        <w:t>s</w:t>
      </w:r>
      <w:r w:rsidRPr="00B47C24">
        <w:rPr>
          <w:sz w:val="24"/>
          <w:szCs w:val="24"/>
          <w:lang w:val="en-US"/>
        </w:rPr>
        <w:t xml:space="preserve">. They also cannot </w:t>
      </w:r>
      <w:r w:rsidR="001B41B3">
        <w:rPr>
          <w:sz w:val="24"/>
          <w:szCs w:val="24"/>
          <w:lang w:val="en-US"/>
        </w:rPr>
        <w:t>simulate</w:t>
      </w:r>
      <w:r w:rsidRPr="00B47C24">
        <w:rPr>
          <w:sz w:val="24"/>
          <w:szCs w:val="24"/>
          <w:lang w:val="en-US"/>
        </w:rPr>
        <w:t xml:space="preserve"> the full </w:t>
      </w:r>
      <w:r w:rsidR="001B41B3">
        <w:rPr>
          <w:sz w:val="24"/>
          <w:szCs w:val="24"/>
          <w:lang w:val="en-US"/>
        </w:rPr>
        <w:t xml:space="preserve">range of </w:t>
      </w:r>
      <w:r w:rsidRPr="00B47C24">
        <w:rPr>
          <w:sz w:val="24"/>
          <w:szCs w:val="24"/>
          <w:lang w:val="en-US"/>
        </w:rPr>
        <w:t xml:space="preserve">environmental conditions that plant </w:t>
      </w:r>
      <w:r w:rsidR="001B41B3">
        <w:rPr>
          <w:sz w:val="24"/>
          <w:szCs w:val="24"/>
          <w:lang w:val="en-US"/>
        </w:rPr>
        <w:t xml:space="preserve">and pest </w:t>
      </w:r>
      <w:r w:rsidRPr="00B47C24">
        <w:rPr>
          <w:sz w:val="24"/>
          <w:szCs w:val="24"/>
          <w:lang w:val="en-US"/>
        </w:rPr>
        <w:t>population will be exposed to under field conditions. T</w:t>
      </w:r>
      <w:r w:rsidR="00285630">
        <w:rPr>
          <w:sz w:val="24"/>
          <w:szCs w:val="24"/>
          <w:lang w:val="en-US"/>
        </w:rPr>
        <w:t xml:space="preserve">o address these limitations, </w:t>
      </w:r>
      <w:r w:rsidRPr="00B47C24">
        <w:rPr>
          <w:sz w:val="24"/>
          <w:szCs w:val="24"/>
          <w:lang w:val="en-US"/>
        </w:rPr>
        <w:t>the research will eventually need to move out of the lab</w:t>
      </w:r>
      <w:r w:rsidR="00285630">
        <w:rPr>
          <w:sz w:val="24"/>
          <w:szCs w:val="24"/>
          <w:lang w:val="en-US"/>
        </w:rPr>
        <w:t>oratory</w:t>
      </w:r>
      <w:r w:rsidRPr="00B47C24">
        <w:rPr>
          <w:sz w:val="24"/>
          <w:szCs w:val="24"/>
          <w:lang w:val="en-US"/>
        </w:rPr>
        <w:t xml:space="preserve"> and </w:t>
      </w:r>
      <w:r w:rsidR="003F1B6C">
        <w:rPr>
          <w:sz w:val="24"/>
          <w:szCs w:val="24"/>
          <w:lang w:val="en-US"/>
        </w:rPr>
        <w:t>into</w:t>
      </w:r>
      <w:r w:rsidRPr="00B47C24">
        <w:rPr>
          <w:sz w:val="24"/>
          <w:szCs w:val="24"/>
          <w:lang w:val="en-US"/>
        </w:rPr>
        <w:t xml:space="preserve"> the field.  </w:t>
      </w:r>
    </w:p>
    <w:p w:rsidR="007469B8" w:rsidRPr="00B47C24" w:rsidRDefault="005C0094" w:rsidP="001B3D2F">
      <w:pPr>
        <w:rPr>
          <w:sz w:val="24"/>
          <w:szCs w:val="24"/>
          <w:lang w:val="en-US"/>
        </w:rPr>
      </w:pPr>
      <w:r>
        <w:rPr>
          <w:sz w:val="24"/>
          <w:szCs w:val="24"/>
          <w:lang w:val="en-US"/>
        </w:rPr>
        <w:t xml:space="preserve">Field trials present a separate set of challenges. </w:t>
      </w:r>
      <w:r w:rsidR="007469B8" w:rsidRPr="00B47C24">
        <w:rPr>
          <w:sz w:val="24"/>
          <w:szCs w:val="24"/>
          <w:lang w:val="en-US"/>
        </w:rPr>
        <w:t>While lab</w:t>
      </w:r>
      <w:r w:rsidR="00037DC2">
        <w:rPr>
          <w:sz w:val="24"/>
          <w:szCs w:val="24"/>
          <w:lang w:val="en-US"/>
        </w:rPr>
        <w:t>oratory</w:t>
      </w:r>
      <w:r w:rsidR="007469B8" w:rsidRPr="00B47C24">
        <w:rPr>
          <w:sz w:val="24"/>
          <w:szCs w:val="24"/>
          <w:lang w:val="en-US"/>
        </w:rPr>
        <w:t xml:space="preserve"> trials may be repeated multiple times within a year, field trials</w:t>
      </w:r>
      <w:r w:rsidR="00037DC2">
        <w:rPr>
          <w:sz w:val="24"/>
          <w:szCs w:val="24"/>
          <w:lang w:val="en-US"/>
        </w:rPr>
        <w:t xml:space="preserve"> in Canada</w:t>
      </w:r>
      <w:r w:rsidR="007469B8" w:rsidRPr="00B47C24">
        <w:rPr>
          <w:sz w:val="24"/>
          <w:szCs w:val="24"/>
          <w:lang w:val="en-US"/>
        </w:rPr>
        <w:t xml:space="preserve"> are generally limited to one per year</w:t>
      </w:r>
      <w:r w:rsidR="00037DC2">
        <w:rPr>
          <w:sz w:val="24"/>
          <w:szCs w:val="24"/>
          <w:lang w:val="en-US"/>
        </w:rPr>
        <w:t xml:space="preserve"> at a particular site</w:t>
      </w:r>
      <w:r w:rsidR="007469B8" w:rsidRPr="00B47C24">
        <w:rPr>
          <w:sz w:val="24"/>
          <w:szCs w:val="24"/>
          <w:lang w:val="en-US"/>
        </w:rPr>
        <w:t>.  Field research is also inherently more variable</w:t>
      </w:r>
      <w:r w:rsidR="0015544D">
        <w:rPr>
          <w:sz w:val="24"/>
          <w:szCs w:val="24"/>
          <w:lang w:val="en-US"/>
        </w:rPr>
        <w:t xml:space="preserve"> than laboratory trials</w:t>
      </w:r>
      <w:r w:rsidR="007469B8" w:rsidRPr="00B47C24">
        <w:rPr>
          <w:sz w:val="24"/>
          <w:szCs w:val="24"/>
          <w:lang w:val="en-US"/>
        </w:rPr>
        <w:t xml:space="preserve">, making results less predictable and repeatable.  </w:t>
      </w:r>
      <w:r w:rsidR="0015544D">
        <w:rPr>
          <w:sz w:val="24"/>
          <w:szCs w:val="24"/>
          <w:lang w:val="en-US"/>
        </w:rPr>
        <w:t>Researchers</w:t>
      </w:r>
      <w:r w:rsidR="007469B8" w:rsidRPr="00B47C24">
        <w:rPr>
          <w:sz w:val="24"/>
          <w:szCs w:val="24"/>
          <w:lang w:val="en-US"/>
        </w:rPr>
        <w:t xml:space="preserve"> cannot change the weather but they can influence</w:t>
      </w:r>
      <w:r w:rsidR="0015544D">
        <w:rPr>
          <w:sz w:val="24"/>
          <w:szCs w:val="24"/>
          <w:lang w:val="en-US"/>
        </w:rPr>
        <w:t xml:space="preserve"> factors such as inoculum pressure and </w:t>
      </w:r>
      <w:r w:rsidR="00BA246E">
        <w:rPr>
          <w:sz w:val="24"/>
          <w:szCs w:val="24"/>
          <w:lang w:val="en-US"/>
        </w:rPr>
        <w:t>infection</w:t>
      </w:r>
      <w:r w:rsidR="0015544D">
        <w:rPr>
          <w:sz w:val="24"/>
          <w:szCs w:val="24"/>
          <w:lang w:val="en-US"/>
        </w:rPr>
        <w:t xml:space="preserve"> success by selecting the timing of inoculation and manipulating environmental parameters (e.g., via irrigation or covers). Thus, inoculation can not only increase the probability of achieving a successful result (uniform, useful and reliable data) but also provide information that could not be achieved in any other way.</w:t>
      </w:r>
    </w:p>
    <w:p w:rsidR="007469B8" w:rsidRPr="00B47C24" w:rsidRDefault="007469B8" w:rsidP="00676E9F">
      <w:pPr>
        <w:rPr>
          <w:sz w:val="24"/>
          <w:szCs w:val="24"/>
          <w:lang w:val="en-US"/>
        </w:rPr>
      </w:pPr>
      <w:r w:rsidRPr="00B47C24">
        <w:rPr>
          <w:sz w:val="24"/>
          <w:szCs w:val="24"/>
          <w:lang w:val="en-US"/>
        </w:rPr>
        <w:t xml:space="preserve">The majority of plant pathogens in Canada </w:t>
      </w:r>
      <w:r w:rsidR="00BA246E">
        <w:rPr>
          <w:sz w:val="24"/>
          <w:szCs w:val="24"/>
          <w:lang w:val="en-US"/>
        </w:rPr>
        <w:t xml:space="preserve">that </w:t>
      </w:r>
      <w:r w:rsidRPr="00B47C24">
        <w:rPr>
          <w:sz w:val="24"/>
          <w:szCs w:val="24"/>
          <w:lang w:val="en-US"/>
        </w:rPr>
        <w:t>are</w:t>
      </w:r>
      <w:r>
        <w:rPr>
          <w:sz w:val="24"/>
          <w:szCs w:val="24"/>
          <w:lang w:val="en-US"/>
        </w:rPr>
        <w:t xml:space="preserve"> being studied</w:t>
      </w:r>
      <w:r w:rsidR="00BA246E">
        <w:rPr>
          <w:sz w:val="24"/>
          <w:szCs w:val="24"/>
          <w:lang w:val="en-US"/>
        </w:rPr>
        <w:t xml:space="preserve"> in inoculated field trials are</w:t>
      </w:r>
      <w:r>
        <w:rPr>
          <w:sz w:val="24"/>
          <w:szCs w:val="24"/>
          <w:lang w:val="en-US"/>
        </w:rPr>
        <w:t xml:space="preserve"> known to</w:t>
      </w:r>
      <w:r w:rsidRPr="00B47C24">
        <w:rPr>
          <w:sz w:val="24"/>
          <w:szCs w:val="24"/>
          <w:lang w:val="en-US"/>
        </w:rPr>
        <w:t xml:space="preserve"> caus</w:t>
      </w:r>
      <w:r>
        <w:rPr>
          <w:sz w:val="24"/>
          <w:szCs w:val="24"/>
          <w:lang w:val="en-US"/>
        </w:rPr>
        <w:t>e</w:t>
      </w:r>
      <w:r w:rsidRPr="00B47C24">
        <w:rPr>
          <w:sz w:val="24"/>
          <w:szCs w:val="24"/>
          <w:lang w:val="en-US"/>
        </w:rPr>
        <w:t xml:space="preserve"> economic harm to agricultural</w:t>
      </w:r>
      <w:r w:rsidR="00191BA1">
        <w:rPr>
          <w:sz w:val="24"/>
          <w:szCs w:val="24"/>
          <w:lang w:val="en-US"/>
        </w:rPr>
        <w:t xml:space="preserve"> or horticultural crops or</w:t>
      </w:r>
      <w:r w:rsidR="00530732">
        <w:rPr>
          <w:sz w:val="24"/>
          <w:szCs w:val="24"/>
          <w:lang w:val="en-US"/>
        </w:rPr>
        <w:t xml:space="preserve"> forest resources</w:t>
      </w:r>
      <w:r w:rsidRPr="00B47C24">
        <w:rPr>
          <w:sz w:val="24"/>
          <w:szCs w:val="24"/>
          <w:lang w:val="en-US"/>
        </w:rPr>
        <w:t>. Knowingly releasing a plant pathogen into the environment should</w:t>
      </w:r>
      <w:r>
        <w:rPr>
          <w:sz w:val="24"/>
          <w:szCs w:val="24"/>
          <w:lang w:val="en-US"/>
        </w:rPr>
        <w:t xml:space="preserve"> therefore</w:t>
      </w:r>
      <w:r w:rsidRPr="00B47C24">
        <w:rPr>
          <w:sz w:val="24"/>
          <w:szCs w:val="24"/>
          <w:lang w:val="en-US"/>
        </w:rPr>
        <w:t xml:space="preserve"> not be done without examining the potential risks associated with this action.</w:t>
      </w:r>
      <w:r w:rsidR="003716DB">
        <w:rPr>
          <w:sz w:val="24"/>
          <w:szCs w:val="24"/>
          <w:lang w:val="en-US"/>
        </w:rPr>
        <w:t xml:space="preserve"> </w:t>
      </w:r>
    </w:p>
    <w:p w:rsidR="007469B8" w:rsidRPr="007C242D" w:rsidRDefault="007469B8" w:rsidP="00CD5AE6">
      <w:pPr>
        <w:rPr>
          <w:sz w:val="24"/>
          <w:szCs w:val="24"/>
        </w:rPr>
      </w:pPr>
      <w:r w:rsidRPr="00CD5AE6">
        <w:rPr>
          <w:sz w:val="24"/>
          <w:szCs w:val="24"/>
        </w:rPr>
        <w:lastRenderedPageBreak/>
        <w:t xml:space="preserve">The purpose of this document —hereinafter referred to as “the </w:t>
      </w:r>
      <w:r>
        <w:rPr>
          <w:sz w:val="24"/>
          <w:szCs w:val="24"/>
        </w:rPr>
        <w:t>guidelines</w:t>
      </w:r>
      <w:r w:rsidRPr="00CD5AE6">
        <w:rPr>
          <w:sz w:val="24"/>
          <w:szCs w:val="24"/>
        </w:rPr>
        <w:t xml:space="preserve">” — is to provide </w:t>
      </w:r>
      <w:r w:rsidRPr="00CD5AE6">
        <w:rPr>
          <w:sz w:val="24"/>
          <w:szCs w:val="24"/>
          <w:lang w:val="en-US"/>
        </w:rPr>
        <w:t xml:space="preserve">best practices for </w:t>
      </w:r>
      <w:r w:rsidR="00761C61">
        <w:rPr>
          <w:sz w:val="24"/>
          <w:szCs w:val="24"/>
          <w:lang w:val="en-US"/>
        </w:rPr>
        <w:t>researchers</w:t>
      </w:r>
      <w:r w:rsidRPr="00CD5AE6">
        <w:rPr>
          <w:sz w:val="24"/>
          <w:szCs w:val="24"/>
          <w:lang w:val="en-US"/>
        </w:rPr>
        <w:t xml:space="preserve"> who are conducting field or </w:t>
      </w:r>
      <w:r>
        <w:rPr>
          <w:sz w:val="24"/>
          <w:szCs w:val="24"/>
          <w:lang w:val="en-US"/>
        </w:rPr>
        <w:t xml:space="preserve">unconfined </w:t>
      </w:r>
      <w:r w:rsidRPr="00CD5AE6">
        <w:rPr>
          <w:sz w:val="24"/>
          <w:szCs w:val="24"/>
          <w:lang w:val="en-US"/>
        </w:rPr>
        <w:t xml:space="preserve">greenhouse trials </w:t>
      </w:r>
      <w:r>
        <w:rPr>
          <w:sz w:val="24"/>
          <w:szCs w:val="24"/>
          <w:lang w:val="en-US"/>
        </w:rPr>
        <w:t>that require</w:t>
      </w:r>
      <w:r w:rsidRPr="00CD5AE6">
        <w:rPr>
          <w:sz w:val="24"/>
          <w:szCs w:val="24"/>
          <w:lang w:val="en-US"/>
        </w:rPr>
        <w:t xml:space="preserve"> inoculat</w:t>
      </w:r>
      <w:r>
        <w:rPr>
          <w:sz w:val="24"/>
          <w:szCs w:val="24"/>
          <w:lang w:val="en-US"/>
        </w:rPr>
        <w:t>ion</w:t>
      </w:r>
      <w:r w:rsidRPr="00CD5AE6">
        <w:rPr>
          <w:sz w:val="24"/>
          <w:szCs w:val="24"/>
          <w:lang w:val="en-US"/>
        </w:rPr>
        <w:t xml:space="preserve"> with plant pathogens</w:t>
      </w:r>
      <w:r>
        <w:rPr>
          <w:sz w:val="24"/>
          <w:szCs w:val="24"/>
          <w:lang w:val="en-US"/>
        </w:rPr>
        <w:t>. The objective is</w:t>
      </w:r>
      <w:r w:rsidRPr="00CD5AE6">
        <w:rPr>
          <w:sz w:val="24"/>
          <w:szCs w:val="24"/>
          <w:lang w:val="en-US"/>
        </w:rPr>
        <w:t xml:space="preserve"> to ensure that </w:t>
      </w:r>
      <w:r>
        <w:rPr>
          <w:sz w:val="24"/>
          <w:szCs w:val="24"/>
          <w:lang w:val="en-US"/>
        </w:rPr>
        <w:t xml:space="preserve">the activities surrounding an individual study, as they pertain to inoculum production, transport and pathogen release, </w:t>
      </w:r>
      <w:r w:rsidRPr="00CD5AE6">
        <w:rPr>
          <w:sz w:val="24"/>
          <w:szCs w:val="24"/>
          <w:lang w:val="en-US"/>
        </w:rPr>
        <w:t xml:space="preserve">are conducted in a responsible manner that take into account any potential for harm </w:t>
      </w:r>
      <w:r>
        <w:rPr>
          <w:sz w:val="24"/>
          <w:szCs w:val="24"/>
          <w:lang w:val="en-US"/>
        </w:rPr>
        <w:t>that could</w:t>
      </w:r>
      <w:r w:rsidRPr="00CD5AE6">
        <w:rPr>
          <w:sz w:val="24"/>
          <w:szCs w:val="24"/>
          <w:lang w:val="en-US"/>
        </w:rPr>
        <w:t xml:space="preserve"> occur to </w:t>
      </w:r>
      <w:r>
        <w:rPr>
          <w:sz w:val="24"/>
          <w:szCs w:val="24"/>
          <w:lang w:val="en-US"/>
        </w:rPr>
        <w:t xml:space="preserve">other living organisms (including humans), </w:t>
      </w:r>
      <w:r w:rsidR="009D1DDF">
        <w:rPr>
          <w:sz w:val="24"/>
          <w:szCs w:val="24"/>
          <w:lang w:val="en-US"/>
        </w:rPr>
        <w:t xml:space="preserve">to </w:t>
      </w:r>
      <w:r w:rsidRPr="00CD5AE6">
        <w:rPr>
          <w:sz w:val="24"/>
          <w:szCs w:val="24"/>
          <w:lang w:val="en-US"/>
        </w:rPr>
        <w:t>the environment</w:t>
      </w:r>
      <w:r>
        <w:rPr>
          <w:sz w:val="24"/>
          <w:szCs w:val="24"/>
          <w:lang w:val="en-US"/>
        </w:rPr>
        <w:t xml:space="preserve"> in general</w:t>
      </w:r>
      <w:r w:rsidRPr="00CD5AE6">
        <w:rPr>
          <w:sz w:val="24"/>
          <w:szCs w:val="24"/>
          <w:lang w:val="en-US"/>
        </w:rPr>
        <w:t xml:space="preserve">, and </w:t>
      </w:r>
      <w:r w:rsidR="009D1DDF">
        <w:rPr>
          <w:sz w:val="24"/>
          <w:szCs w:val="24"/>
          <w:lang w:val="en-US"/>
        </w:rPr>
        <w:t xml:space="preserve">to </w:t>
      </w:r>
      <w:r>
        <w:rPr>
          <w:sz w:val="24"/>
          <w:szCs w:val="24"/>
          <w:lang w:val="en-US"/>
        </w:rPr>
        <w:t xml:space="preserve">the </w:t>
      </w:r>
      <w:r w:rsidRPr="00CD5AE6">
        <w:rPr>
          <w:sz w:val="24"/>
          <w:szCs w:val="24"/>
          <w:lang w:val="en-US"/>
        </w:rPr>
        <w:t xml:space="preserve">agriculture and </w:t>
      </w:r>
      <w:proofErr w:type="spellStart"/>
      <w:r w:rsidRPr="00CD5AE6">
        <w:rPr>
          <w:sz w:val="24"/>
          <w:szCs w:val="24"/>
          <w:lang w:val="en-US"/>
        </w:rPr>
        <w:t>agri</w:t>
      </w:r>
      <w:proofErr w:type="spellEnd"/>
      <w:r w:rsidRPr="00CD5AE6">
        <w:rPr>
          <w:sz w:val="24"/>
          <w:szCs w:val="24"/>
          <w:lang w:val="en-US"/>
        </w:rPr>
        <w:t xml:space="preserve">-food industry. </w:t>
      </w:r>
    </w:p>
    <w:p w:rsidR="007469B8" w:rsidRPr="00285BEA" w:rsidRDefault="007469B8" w:rsidP="00285BEA">
      <w:pPr>
        <w:rPr>
          <w:i/>
          <w:sz w:val="24"/>
          <w:szCs w:val="24"/>
          <w:lang w:val="en-US"/>
        </w:rPr>
      </w:pPr>
      <w:r>
        <w:rPr>
          <w:sz w:val="24"/>
          <w:szCs w:val="24"/>
          <w:lang w:val="en-US"/>
        </w:rPr>
        <w:t>The intended audiences for these guidelines are p</w:t>
      </w:r>
      <w:r w:rsidRPr="00285BEA">
        <w:rPr>
          <w:sz w:val="24"/>
          <w:szCs w:val="24"/>
          <w:lang w:val="en-US"/>
        </w:rPr>
        <w:t>rofessional researchers (public, academic, industry) working with plant pathogens</w:t>
      </w:r>
      <w:r w:rsidR="00761C61">
        <w:rPr>
          <w:sz w:val="24"/>
          <w:szCs w:val="24"/>
          <w:lang w:val="en-US"/>
        </w:rPr>
        <w:t xml:space="preserve"> that routinely </w:t>
      </w:r>
      <w:r w:rsidR="009D1DDF">
        <w:rPr>
          <w:sz w:val="24"/>
          <w:szCs w:val="24"/>
          <w:lang w:val="en-US"/>
        </w:rPr>
        <w:t>occur</w:t>
      </w:r>
      <w:r w:rsidR="00761C61">
        <w:rPr>
          <w:sz w:val="24"/>
          <w:szCs w:val="24"/>
          <w:lang w:val="en-US"/>
        </w:rPr>
        <w:t xml:space="preserve"> in commercial fields and environments,</w:t>
      </w:r>
      <w:r w:rsidR="00761C61" w:rsidRPr="00285BEA">
        <w:rPr>
          <w:sz w:val="24"/>
          <w:szCs w:val="24"/>
          <w:lang w:val="en-US"/>
        </w:rPr>
        <w:t xml:space="preserve"> </w:t>
      </w:r>
      <w:r w:rsidRPr="00285BEA">
        <w:rPr>
          <w:sz w:val="24"/>
          <w:szCs w:val="24"/>
          <w:lang w:val="en-US"/>
        </w:rPr>
        <w:t>in unconfined greenhouses or in field trials</w:t>
      </w:r>
      <w:r>
        <w:rPr>
          <w:sz w:val="24"/>
          <w:szCs w:val="24"/>
          <w:lang w:val="en-US"/>
        </w:rPr>
        <w:t xml:space="preserve">, as well as the manufacturers of inoculum for research purposes (including those who produce inoculum for third party researchers).  </w:t>
      </w:r>
    </w:p>
    <w:p w:rsidR="007469B8" w:rsidRDefault="007469B8" w:rsidP="007F2506">
      <w:pPr>
        <w:rPr>
          <w:sz w:val="24"/>
          <w:szCs w:val="24"/>
        </w:rPr>
      </w:pPr>
      <w:r>
        <w:rPr>
          <w:sz w:val="24"/>
          <w:szCs w:val="24"/>
        </w:rPr>
        <w:t>Adherence to the guidelines</w:t>
      </w:r>
      <w:r w:rsidRPr="004C152D">
        <w:rPr>
          <w:sz w:val="24"/>
          <w:szCs w:val="24"/>
        </w:rPr>
        <w:t xml:space="preserve"> </w:t>
      </w:r>
      <w:r>
        <w:rPr>
          <w:sz w:val="24"/>
          <w:szCs w:val="24"/>
        </w:rPr>
        <w:t>is expected to benefit the professional plant pathology community by standardizing research practices and avoiding unintended releases of plant pathogens</w:t>
      </w:r>
      <w:r w:rsidRPr="004C152D">
        <w:rPr>
          <w:sz w:val="24"/>
          <w:szCs w:val="24"/>
        </w:rPr>
        <w:t xml:space="preserve">. As many of these measures have been in practice </w:t>
      </w:r>
      <w:r w:rsidR="002E5CBA">
        <w:rPr>
          <w:sz w:val="24"/>
          <w:szCs w:val="24"/>
        </w:rPr>
        <w:t>since the early 1990’s</w:t>
      </w:r>
      <w:r w:rsidRPr="004C152D">
        <w:rPr>
          <w:sz w:val="24"/>
          <w:szCs w:val="24"/>
        </w:rPr>
        <w:t xml:space="preserve">, the </w:t>
      </w:r>
      <w:r>
        <w:rPr>
          <w:sz w:val="24"/>
          <w:szCs w:val="24"/>
        </w:rPr>
        <w:t>guidelines are</w:t>
      </w:r>
      <w:r w:rsidRPr="004C152D">
        <w:rPr>
          <w:sz w:val="24"/>
          <w:szCs w:val="24"/>
        </w:rPr>
        <w:t xml:space="preserve"> not intended to supplant current best practices but rather to frame established practices into a broadly applicable document. Adopting these measures will contribute to rigorous, consistent, replicable results; minimize potential risks associated with these endeavours to human health and the environment including other crops; and </w:t>
      </w:r>
      <w:r>
        <w:rPr>
          <w:sz w:val="24"/>
          <w:szCs w:val="24"/>
        </w:rPr>
        <w:t>encourage</w:t>
      </w:r>
      <w:r w:rsidRPr="004C152D">
        <w:rPr>
          <w:sz w:val="24"/>
          <w:szCs w:val="24"/>
        </w:rPr>
        <w:t xml:space="preserve"> compliance with statutory </w:t>
      </w:r>
      <w:r w:rsidR="009D1DDF">
        <w:rPr>
          <w:sz w:val="24"/>
          <w:szCs w:val="24"/>
        </w:rPr>
        <w:t>requirements</w:t>
      </w:r>
      <w:r w:rsidRPr="004C152D">
        <w:rPr>
          <w:sz w:val="24"/>
          <w:szCs w:val="24"/>
        </w:rPr>
        <w:t xml:space="preserve">. </w:t>
      </w:r>
    </w:p>
    <w:p w:rsidR="007469B8" w:rsidRPr="007F2506" w:rsidRDefault="007469B8" w:rsidP="001129FF">
      <w:pPr>
        <w:pStyle w:val="Heading1"/>
        <w:rPr>
          <w:lang w:val="en-US"/>
        </w:rPr>
      </w:pPr>
      <w:bookmarkStart w:id="2" w:name="_Toc387918938"/>
      <w:r>
        <w:rPr>
          <w:lang w:val="en-US"/>
        </w:rPr>
        <w:t>The Objective of the Guidelines</w:t>
      </w:r>
      <w:bookmarkEnd w:id="2"/>
    </w:p>
    <w:p w:rsidR="007469B8" w:rsidRPr="005C1A1B" w:rsidRDefault="007469B8" w:rsidP="007F2506">
      <w:pPr>
        <w:rPr>
          <w:sz w:val="24"/>
          <w:szCs w:val="24"/>
        </w:rPr>
      </w:pPr>
      <w:r w:rsidRPr="005C1A1B">
        <w:rPr>
          <w:sz w:val="24"/>
          <w:szCs w:val="24"/>
        </w:rPr>
        <w:t xml:space="preserve">The </w:t>
      </w:r>
      <w:r w:rsidR="0025522A">
        <w:rPr>
          <w:sz w:val="24"/>
          <w:szCs w:val="24"/>
        </w:rPr>
        <w:t>c</w:t>
      </w:r>
      <w:r w:rsidRPr="005C1A1B">
        <w:rPr>
          <w:sz w:val="24"/>
          <w:szCs w:val="24"/>
        </w:rPr>
        <w:t>o</w:t>
      </w:r>
      <w:r>
        <w:rPr>
          <w:sz w:val="24"/>
          <w:szCs w:val="24"/>
        </w:rPr>
        <w:t>ntributors</w:t>
      </w:r>
      <w:r w:rsidRPr="005C1A1B">
        <w:rPr>
          <w:sz w:val="24"/>
          <w:szCs w:val="24"/>
        </w:rPr>
        <w:t xml:space="preserve"> listed in</w:t>
      </w:r>
      <w:r w:rsidR="007D2513">
        <w:rPr>
          <w:sz w:val="24"/>
          <w:szCs w:val="24"/>
        </w:rPr>
        <w:t xml:space="preserve"> </w:t>
      </w:r>
      <w:hyperlink w:anchor="AppendixI" w:history="1">
        <w:r w:rsidR="007D2513" w:rsidRPr="007D2513">
          <w:rPr>
            <w:rStyle w:val="Hyperlink"/>
            <w:sz w:val="24"/>
            <w:szCs w:val="24"/>
          </w:rPr>
          <w:t>Appendix I</w:t>
        </w:r>
      </w:hyperlink>
      <w:r w:rsidR="007D2513">
        <w:rPr>
          <w:sz w:val="24"/>
          <w:szCs w:val="24"/>
        </w:rPr>
        <w:t xml:space="preserve"> </w:t>
      </w:r>
      <w:r w:rsidR="007D2513">
        <w:rPr>
          <w:sz w:val="24"/>
          <w:szCs w:val="24"/>
        </w:rPr>
        <w:fldChar w:fldCharType="begin"/>
      </w:r>
      <w:r w:rsidR="007D2513">
        <w:rPr>
          <w:sz w:val="24"/>
          <w:szCs w:val="24"/>
        </w:rPr>
        <w:instrText xml:space="preserve"> REF AppendixI \h </w:instrText>
      </w:r>
      <w:r w:rsidR="007D2513">
        <w:rPr>
          <w:sz w:val="24"/>
          <w:szCs w:val="24"/>
        </w:rPr>
      </w:r>
      <w:r w:rsidR="007D2513">
        <w:rPr>
          <w:sz w:val="24"/>
          <w:szCs w:val="24"/>
        </w:rPr>
        <w:fldChar w:fldCharType="end"/>
      </w:r>
      <w:r w:rsidR="007D2513">
        <w:rPr>
          <w:sz w:val="24"/>
          <w:szCs w:val="24"/>
        </w:rPr>
        <w:fldChar w:fldCharType="begin"/>
      </w:r>
      <w:r w:rsidR="007D2513">
        <w:rPr>
          <w:sz w:val="24"/>
          <w:szCs w:val="24"/>
        </w:rPr>
        <w:instrText xml:space="preserve"> REF AppendixI \h </w:instrText>
      </w:r>
      <w:r w:rsidR="007D2513">
        <w:rPr>
          <w:sz w:val="24"/>
          <w:szCs w:val="24"/>
        </w:rPr>
      </w:r>
      <w:r w:rsidR="007D2513">
        <w:rPr>
          <w:sz w:val="24"/>
          <w:szCs w:val="24"/>
        </w:rPr>
        <w:fldChar w:fldCharType="end"/>
      </w:r>
      <w:r w:rsidRPr="005C1A1B">
        <w:rPr>
          <w:sz w:val="24"/>
          <w:szCs w:val="24"/>
        </w:rPr>
        <w:t>have developed the</w:t>
      </w:r>
      <w:r>
        <w:rPr>
          <w:sz w:val="24"/>
          <w:szCs w:val="24"/>
        </w:rPr>
        <w:t>se guidelines</w:t>
      </w:r>
      <w:r w:rsidRPr="005C1A1B">
        <w:rPr>
          <w:sz w:val="24"/>
          <w:szCs w:val="24"/>
        </w:rPr>
        <w:t xml:space="preserve">, on behalf of the community of </w:t>
      </w:r>
      <w:r>
        <w:rPr>
          <w:sz w:val="24"/>
          <w:szCs w:val="24"/>
        </w:rPr>
        <w:t>plant pathology</w:t>
      </w:r>
      <w:r w:rsidRPr="005C1A1B">
        <w:rPr>
          <w:sz w:val="24"/>
          <w:szCs w:val="24"/>
        </w:rPr>
        <w:t xml:space="preserve"> researchers in Canada, to codify the best practices that have long existed within this field. </w:t>
      </w:r>
      <w:r>
        <w:rPr>
          <w:sz w:val="24"/>
          <w:szCs w:val="24"/>
        </w:rPr>
        <w:t xml:space="preserve"> The guidelines will be maintained by the Canadian </w:t>
      </w:r>
      <w:proofErr w:type="spellStart"/>
      <w:r>
        <w:rPr>
          <w:sz w:val="24"/>
          <w:szCs w:val="24"/>
        </w:rPr>
        <w:t>Phytopathological</w:t>
      </w:r>
      <w:proofErr w:type="spellEnd"/>
      <w:r>
        <w:rPr>
          <w:sz w:val="24"/>
          <w:szCs w:val="24"/>
        </w:rPr>
        <w:t xml:space="preserve"> Society (CPS) and made available on the CPS website. </w:t>
      </w:r>
      <w:r w:rsidRPr="005C1A1B">
        <w:rPr>
          <w:sz w:val="24"/>
          <w:szCs w:val="24"/>
        </w:rPr>
        <w:t xml:space="preserve">The </w:t>
      </w:r>
      <w:r w:rsidR="00191BA1">
        <w:rPr>
          <w:sz w:val="24"/>
          <w:szCs w:val="24"/>
        </w:rPr>
        <w:t>Society</w:t>
      </w:r>
      <w:r w:rsidRPr="005C1A1B">
        <w:rPr>
          <w:sz w:val="24"/>
          <w:szCs w:val="24"/>
        </w:rPr>
        <w:t xml:space="preserve"> </w:t>
      </w:r>
      <w:r>
        <w:rPr>
          <w:sz w:val="24"/>
          <w:szCs w:val="24"/>
        </w:rPr>
        <w:t>will revise them</w:t>
      </w:r>
      <w:r w:rsidRPr="005C1A1B">
        <w:rPr>
          <w:sz w:val="24"/>
          <w:szCs w:val="24"/>
        </w:rPr>
        <w:t xml:space="preserve"> periodically</w:t>
      </w:r>
      <w:r>
        <w:rPr>
          <w:sz w:val="24"/>
          <w:szCs w:val="24"/>
        </w:rPr>
        <w:t xml:space="preserve"> as needed</w:t>
      </w:r>
      <w:r w:rsidRPr="005C1A1B">
        <w:rPr>
          <w:sz w:val="24"/>
          <w:szCs w:val="24"/>
        </w:rPr>
        <w:t>, in consultation with the research community, to ensure</w:t>
      </w:r>
      <w:r>
        <w:rPr>
          <w:sz w:val="24"/>
          <w:szCs w:val="24"/>
        </w:rPr>
        <w:t xml:space="preserve"> they</w:t>
      </w:r>
      <w:r w:rsidRPr="005C1A1B">
        <w:rPr>
          <w:sz w:val="24"/>
          <w:szCs w:val="24"/>
        </w:rPr>
        <w:t xml:space="preserve"> remain current. </w:t>
      </w:r>
    </w:p>
    <w:p w:rsidR="007469B8" w:rsidRDefault="007469B8" w:rsidP="00CD5AE6">
      <w:pPr>
        <w:rPr>
          <w:sz w:val="24"/>
          <w:szCs w:val="24"/>
        </w:rPr>
      </w:pPr>
      <w:r>
        <w:rPr>
          <w:sz w:val="24"/>
          <w:szCs w:val="24"/>
        </w:rPr>
        <w:t>These guidelines are</w:t>
      </w:r>
      <w:r w:rsidRPr="004C152D">
        <w:rPr>
          <w:sz w:val="24"/>
          <w:szCs w:val="24"/>
        </w:rPr>
        <w:t xml:space="preserve"> intended </w:t>
      </w:r>
      <w:r>
        <w:rPr>
          <w:sz w:val="24"/>
          <w:szCs w:val="24"/>
        </w:rPr>
        <w:t>to be</w:t>
      </w:r>
      <w:r w:rsidRPr="004C152D">
        <w:rPr>
          <w:sz w:val="24"/>
          <w:szCs w:val="24"/>
        </w:rPr>
        <w:t xml:space="preserve"> a guide to best practices in</w:t>
      </w:r>
      <w:r>
        <w:rPr>
          <w:sz w:val="24"/>
          <w:szCs w:val="24"/>
        </w:rPr>
        <w:t xml:space="preserve"> the</w:t>
      </w:r>
      <w:r w:rsidRPr="004C152D">
        <w:rPr>
          <w:sz w:val="24"/>
          <w:szCs w:val="24"/>
        </w:rPr>
        <w:t xml:space="preserve"> production, distribution, and use of plant pathogens in research in order to minimize </w:t>
      </w:r>
      <w:r w:rsidR="000A308A">
        <w:rPr>
          <w:sz w:val="24"/>
          <w:szCs w:val="24"/>
        </w:rPr>
        <w:t xml:space="preserve">or eliminate any </w:t>
      </w:r>
      <w:r w:rsidRPr="004C152D">
        <w:rPr>
          <w:sz w:val="24"/>
          <w:szCs w:val="24"/>
        </w:rPr>
        <w:t xml:space="preserve">potential risks to the environment </w:t>
      </w:r>
      <w:r w:rsidR="000A308A">
        <w:rPr>
          <w:sz w:val="24"/>
          <w:szCs w:val="24"/>
        </w:rPr>
        <w:t>or</w:t>
      </w:r>
      <w:r w:rsidR="000A308A" w:rsidRPr="004C152D">
        <w:rPr>
          <w:sz w:val="24"/>
          <w:szCs w:val="24"/>
        </w:rPr>
        <w:t xml:space="preserve"> </w:t>
      </w:r>
      <w:r w:rsidRPr="004C152D">
        <w:rPr>
          <w:sz w:val="24"/>
          <w:szCs w:val="24"/>
        </w:rPr>
        <w:t xml:space="preserve">human health while </w:t>
      </w:r>
      <w:r w:rsidR="000A308A">
        <w:rPr>
          <w:sz w:val="24"/>
          <w:szCs w:val="24"/>
        </w:rPr>
        <w:t xml:space="preserve">at the same time facilitating </w:t>
      </w:r>
      <w:r w:rsidRPr="004C152D">
        <w:rPr>
          <w:sz w:val="24"/>
          <w:szCs w:val="24"/>
        </w:rPr>
        <w:t xml:space="preserve">rigorous, creative, and beneficial research. </w:t>
      </w:r>
    </w:p>
    <w:p w:rsidR="007469B8" w:rsidRDefault="007469B8" w:rsidP="007F2506">
      <w:r>
        <w:t xml:space="preserve">Adherence to the guidelines described in this document will help to </w:t>
      </w:r>
      <w:r>
        <w:rPr>
          <w:rFonts w:cs="Calibri"/>
          <w:color w:val="000000"/>
          <w:sz w:val="24"/>
          <w:szCs w:val="24"/>
        </w:rPr>
        <w:t xml:space="preserve">address concerns regarding </w:t>
      </w:r>
      <w:r w:rsidRPr="00C263B1">
        <w:rPr>
          <w:sz w:val="24"/>
          <w:szCs w:val="24"/>
        </w:rPr>
        <w:t xml:space="preserve">potential </w:t>
      </w:r>
      <w:r w:rsidR="007E4DF9">
        <w:rPr>
          <w:sz w:val="24"/>
          <w:szCs w:val="24"/>
        </w:rPr>
        <w:t xml:space="preserve">risks to human health or the environment </w:t>
      </w:r>
      <w:r w:rsidRPr="00C263B1">
        <w:rPr>
          <w:sz w:val="24"/>
          <w:szCs w:val="24"/>
        </w:rPr>
        <w:t xml:space="preserve">associated with the manufacture, transport, and redistribution of plant pathogens within the Canadian environment; ensure a </w:t>
      </w:r>
      <w:r w:rsidRPr="00C263B1">
        <w:rPr>
          <w:sz w:val="24"/>
          <w:szCs w:val="24"/>
        </w:rPr>
        <w:lastRenderedPageBreak/>
        <w:t>high degree of public confidence that the research is being conducted in a safe manner; and ensure consistency in the way that biosafety aspects of plant pathogen research trials are addressed across Canada.</w:t>
      </w:r>
    </w:p>
    <w:p w:rsidR="007469B8" w:rsidRDefault="007469B8" w:rsidP="00750C02">
      <w:pPr>
        <w:pStyle w:val="Heading1"/>
        <w:rPr>
          <w:lang w:val="en-US"/>
        </w:rPr>
      </w:pPr>
      <w:bookmarkStart w:id="3" w:name="_Toc387918939"/>
      <w:r>
        <w:rPr>
          <w:lang w:val="en-US"/>
        </w:rPr>
        <w:t>Scope of the Guidelines</w:t>
      </w:r>
      <w:bookmarkEnd w:id="3"/>
    </w:p>
    <w:p w:rsidR="00214ED3" w:rsidRDefault="007469B8" w:rsidP="00214ED3">
      <w:pPr>
        <w:rPr>
          <w:sz w:val="24"/>
          <w:szCs w:val="24"/>
        </w:rPr>
      </w:pPr>
      <w:r w:rsidRPr="00C263B1">
        <w:rPr>
          <w:sz w:val="24"/>
          <w:szCs w:val="24"/>
        </w:rPr>
        <w:t xml:space="preserve">These guidelines apply to the production, storage, transportation, and release into the environment of plant pathogens for the purpose of inoculating field or greenhouse trials by qualified researchers. </w:t>
      </w:r>
    </w:p>
    <w:p w:rsidR="007469B8" w:rsidRPr="00214ED3" w:rsidRDefault="007469B8" w:rsidP="00214ED3">
      <w:pPr>
        <w:rPr>
          <w:sz w:val="24"/>
          <w:szCs w:val="24"/>
        </w:rPr>
      </w:pPr>
      <w:r w:rsidRPr="00214ED3">
        <w:rPr>
          <w:sz w:val="24"/>
          <w:szCs w:val="24"/>
        </w:rPr>
        <w:t xml:space="preserve">These guidelines apply to </w:t>
      </w:r>
      <w:r w:rsidR="00214ED3">
        <w:rPr>
          <w:sz w:val="24"/>
          <w:szCs w:val="24"/>
        </w:rPr>
        <w:t>i</w:t>
      </w:r>
      <w:r w:rsidRPr="00214ED3">
        <w:rPr>
          <w:sz w:val="24"/>
          <w:szCs w:val="24"/>
        </w:rPr>
        <w:t>ndigenous, endemic plant pathogens</w:t>
      </w:r>
      <w:r w:rsidR="005279EA">
        <w:rPr>
          <w:sz w:val="24"/>
          <w:szCs w:val="24"/>
        </w:rPr>
        <w:t xml:space="preserve"> </w:t>
      </w:r>
      <w:r w:rsidR="005279EA" w:rsidRPr="00214ED3">
        <w:rPr>
          <w:sz w:val="24"/>
          <w:szCs w:val="24"/>
        </w:rPr>
        <w:t>that are, or have</w:t>
      </w:r>
      <w:r w:rsidR="00BB1DF0" w:rsidRPr="00214ED3">
        <w:rPr>
          <w:sz w:val="24"/>
          <w:szCs w:val="24"/>
        </w:rPr>
        <w:t xml:space="preserve"> been,</w:t>
      </w:r>
      <w:r w:rsidRPr="00214ED3">
        <w:rPr>
          <w:sz w:val="24"/>
          <w:szCs w:val="24"/>
        </w:rPr>
        <w:t xml:space="preserve"> commonly identified </w:t>
      </w:r>
      <w:r w:rsidR="00BB1DF0" w:rsidRPr="00214ED3">
        <w:rPr>
          <w:sz w:val="24"/>
          <w:szCs w:val="24"/>
        </w:rPr>
        <w:t>and confirmed in Canada during</w:t>
      </w:r>
      <w:r w:rsidRPr="00214ED3">
        <w:rPr>
          <w:sz w:val="24"/>
          <w:szCs w:val="24"/>
        </w:rPr>
        <w:t xml:space="preserve"> plant surveys</w:t>
      </w:r>
      <w:r w:rsidR="00BB1DF0" w:rsidRPr="00214ED3">
        <w:rPr>
          <w:sz w:val="24"/>
          <w:szCs w:val="24"/>
        </w:rPr>
        <w:t xml:space="preserve"> and its occurrence in the region where the inoculation will take place</w:t>
      </w:r>
      <w:r w:rsidRPr="00214ED3">
        <w:rPr>
          <w:sz w:val="24"/>
          <w:szCs w:val="24"/>
        </w:rPr>
        <w:t xml:space="preserve"> is well documented</w:t>
      </w:r>
      <w:r w:rsidR="00BB1DF0" w:rsidRPr="00214ED3">
        <w:rPr>
          <w:sz w:val="24"/>
          <w:szCs w:val="24"/>
        </w:rPr>
        <w:t>.</w:t>
      </w:r>
    </w:p>
    <w:p w:rsidR="007469B8" w:rsidRPr="00214ED3" w:rsidRDefault="007469B8" w:rsidP="00A824DB">
      <w:pPr>
        <w:rPr>
          <w:sz w:val="24"/>
          <w:szCs w:val="24"/>
        </w:rPr>
      </w:pPr>
      <w:r w:rsidRPr="00214ED3">
        <w:rPr>
          <w:sz w:val="24"/>
          <w:szCs w:val="24"/>
        </w:rPr>
        <w:t xml:space="preserve">Plant pathogens that fall under the following categories should not be produced </w:t>
      </w:r>
      <w:proofErr w:type="spellStart"/>
      <w:r w:rsidRPr="00214ED3">
        <w:rPr>
          <w:sz w:val="24"/>
          <w:szCs w:val="24"/>
        </w:rPr>
        <w:t>en</w:t>
      </w:r>
      <w:proofErr w:type="spellEnd"/>
      <w:r w:rsidRPr="00214ED3">
        <w:rPr>
          <w:sz w:val="24"/>
          <w:szCs w:val="24"/>
        </w:rPr>
        <w:t xml:space="preserve"> masse or considered for field</w:t>
      </w:r>
      <w:r w:rsidR="00471DD0" w:rsidRPr="00214ED3">
        <w:rPr>
          <w:sz w:val="24"/>
          <w:szCs w:val="24"/>
        </w:rPr>
        <w:t xml:space="preserve"> or unconfined greenhouse</w:t>
      </w:r>
      <w:r w:rsidRPr="00214ED3">
        <w:rPr>
          <w:sz w:val="24"/>
          <w:szCs w:val="24"/>
        </w:rPr>
        <w:t xml:space="preserve"> </w:t>
      </w:r>
      <w:r w:rsidR="00214ED3" w:rsidRPr="00214ED3">
        <w:rPr>
          <w:sz w:val="24"/>
          <w:szCs w:val="24"/>
        </w:rPr>
        <w:t>release under any circumstances:</w:t>
      </w:r>
      <w:r w:rsidRPr="00214ED3">
        <w:rPr>
          <w:sz w:val="24"/>
          <w:szCs w:val="24"/>
        </w:rPr>
        <w:t xml:space="preserve"> </w:t>
      </w:r>
    </w:p>
    <w:p w:rsidR="007469B8" w:rsidRDefault="007469B8" w:rsidP="00A824DB">
      <w:pPr>
        <w:pStyle w:val="ListParagraph"/>
        <w:numPr>
          <w:ilvl w:val="0"/>
          <w:numId w:val="31"/>
        </w:numPr>
        <w:rPr>
          <w:color w:val="000000"/>
          <w:sz w:val="24"/>
          <w:szCs w:val="24"/>
        </w:rPr>
      </w:pPr>
      <w:r>
        <w:rPr>
          <w:color w:val="000000"/>
          <w:sz w:val="24"/>
          <w:szCs w:val="24"/>
        </w:rPr>
        <w:t xml:space="preserve">Plant pathogens not </w:t>
      </w:r>
      <w:r w:rsidR="005279EA">
        <w:rPr>
          <w:color w:val="000000"/>
          <w:sz w:val="24"/>
          <w:szCs w:val="24"/>
        </w:rPr>
        <w:t xml:space="preserve">confirmed </w:t>
      </w:r>
      <w:r>
        <w:rPr>
          <w:color w:val="000000"/>
          <w:sz w:val="24"/>
          <w:szCs w:val="24"/>
        </w:rPr>
        <w:t xml:space="preserve">to </w:t>
      </w:r>
      <w:r w:rsidR="005279EA">
        <w:rPr>
          <w:color w:val="000000"/>
          <w:sz w:val="24"/>
          <w:szCs w:val="24"/>
        </w:rPr>
        <w:t xml:space="preserve">occur </w:t>
      </w:r>
      <w:r>
        <w:rPr>
          <w:color w:val="000000"/>
          <w:sz w:val="24"/>
          <w:szCs w:val="24"/>
        </w:rPr>
        <w:t>in Canada</w:t>
      </w:r>
      <w:r w:rsidR="005279EA">
        <w:rPr>
          <w:color w:val="000000"/>
          <w:sz w:val="24"/>
          <w:szCs w:val="24"/>
        </w:rPr>
        <w:t>:</w:t>
      </w:r>
      <w:r>
        <w:rPr>
          <w:color w:val="000000"/>
          <w:sz w:val="24"/>
          <w:szCs w:val="24"/>
        </w:rPr>
        <w:t xml:space="preserve"> </w:t>
      </w:r>
    </w:p>
    <w:p w:rsidR="007469B8" w:rsidRDefault="007469B8" w:rsidP="00A824DB">
      <w:pPr>
        <w:pStyle w:val="ListParagraph"/>
        <w:numPr>
          <w:ilvl w:val="1"/>
          <w:numId w:val="31"/>
        </w:numPr>
        <w:rPr>
          <w:color w:val="000000"/>
          <w:sz w:val="24"/>
          <w:szCs w:val="24"/>
        </w:rPr>
      </w:pPr>
      <w:r>
        <w:rPr>
          <w:color w:val="000000"/>
          <w:sz w:val="24"/>
          <w:szCs w:val="24"/>
        </w:rPr>
        <w:t>The pathogen does not occur in Canada or has not been previously documented as occurring within Canada</w:t>
      </w:r>
      <w:r w:rsidR="005279EA">
        <w:rPr>
          <w:color w:val="000000"/>
          <w:sz w:val="24"/>
          <w:szCs w:val="24"/>
        </w:rPr>
        <w:t>.</w:t>
      </w:r>
    </w:p>
    <w:p w:rsidR="007469B8" w:rsidRDefault="007469B8" w:rsidP="00A824DB">
      <w:pPr>
        <w:pStyle w:val="ListParagraph"/>
        <w:numPr>
          <w:ilvl w:val="0"/>
          <w:numId w:val="31"/>
        </w:numPr>
        <w:rPr>
          <w:color w:val="000000"/>
          <w:sz w:val="24"/>
          <w:szCs w:val="24"/>
        </w:rPr>
      </w:pPr>
      <w:r>
        <w:rPr>
          <w:color w:val="000000"/>
          <w:sz w:val="24"/>
          <w:szCs w:val="24"/>
        </w:rPr>
        <w:t>Isolates of plant pathogens that are present in Canada, but the isolate itself is of foreign origin</w:t>
      </w:r>
      <w:r w:rsidR="005279EA">
        <w:rPr>
          <w:color w:val="000000"/>
          <w:sz w:val="24"/>
          <w:szCs w:val="24"/>
        </w:rPr>
        <w:t>:</w:t>
      </w:r>
    </w:p>
    <w:p w:rsidR="007469B8" w:rsidRPr="000D018F" w:rsidRDefault="007469B8" w:rsidP="000D018F">
      <w:pPr>
        <w:pStyle w:val="ListParagraph"/>
        <w:numPr>
          <w:ilvl w:val="1"/>
          <w:numId w:val="31"/>
        </w:numPr>
        <w:rPr>
          <w:color w:val="000000"/>
          <w:sz w:val="24"/>
          <w:szCs w:val="24"/>
        </w:rPr>
      </w:pPr>
      <w:r>
        <w:rPr>
          <w:color w:val="000000"/>
          <w:sz w:val="24"/>
          <w:szCs w:val="24"/>
        </w:rPr>
        <w:t>While the pathogen may occur in Canada</w:t>
      </w:r>
      <w:r w:rsidR="005279EA">
        <w:rPr>
          <w:color w:val="000000"/>
          <w:sz w:val="24"/>
          <w:szCs w:val="24"/>
        </w:rPr>
        <w:t>,</w:t>
      </w:r>
      <w:r>
        <w:rPr>
          <w:color w:val="000000"/>
          <w:sz w:val="24"/>
          <w:szCs w:val="24"/>
        </w:rPr>
        <w:t xml:space="preserve"> the specific isolate or culture of interest is not of Canadian origin</w:t>
      </w:r>
      <w:r w:rsidR="005279EA">
        <w:rPr>
          <w:color w:val="000000"/>
          <w:sz w:val="24"/>
          <w:szCs w:val="24"/>
        </w:rPr>
        <w:t>.</w:t>
      </w:r>
    </w:p>
    <w:p w:rsidR="007469B8" w:rsidRDefault="007469B8" w:rsidP="00844B42">
      <w:pPr>
        <w:rPr>
          <w:sz w:val="24"/>
          <w:szCs w:val="24"/>
        </w:rPr>
      </w:pPr>
      <w:r>
        <w:rPr>
          <w:sz w:val="24"/>
          <w:szCs w:val="24"/>
        </w:rPr>
        <w:t>Adherence to these guidelines does not</w:t>
      </w:r>
      <w:r w:rsidR="00517C82">
        <w:rPr>
          <w:sz w:val="24"/>
          <w:szCs w:val="24"/>
        </w:rPr>
        <w:t xml:space="preserve"> necessarily</w:t>
      </w:r>
      <w:r>
        <w:rPr>
          <w:sz w:val="24"/>
          <w:szCs w:val="24"/>
        </w:rPr>
        <w:t xml:space="preserve"> exempt researchers from notification requirements or </w:t>
      </w:r>
      <w:r w:rsidR="009E2653">
        <w:rPr>
          <w:sz w:val="24"/>
          <w:szCs w:val="24"/>
        </w:rPr>
        <w:t xml:space="preserve">other </w:t>
      </w:r>
      <w:r>
        <w:rPr>
          <w:sz w:val="24"/>
          <w:szCs w:val="24"/>
        </w:rPr>
        <w:t>statutory controls. The following Acts and their associated regulations should be considered prior to initiating any plant pathogen field trials:</w:t>
      </w:r>
      <w:r w:rsidR="005279EA">
        <w:rPr>
          <w:rStyle w:val="FootnoteReference"/>
          <w:sz w:val="24"/>
          <w:szCs w:val="24"/>
        </w:rPr>
        <w:footnoteReference w:id="1"/>
      </w:r>
    </w:p>
    <w:p w:rsidR="007469B8" w:rsidRDefault="007469B8" w:rsidP="00015CA3">
      <w:pPr>
        <w:pStyle w:val="ListParagraph"/>
        <w:numPr>
          <w:ilvl w:val="0"/>
          <w:numId w:val="21"/>
        </w:numPr>
        <w:autoSpaceDE w:val="0"/>
        <w:autoSpaceDN w:val="0"/>
        <w:adjustRightInd w:val="0"/>
        <w:spacing w:after="0" w:line="240" w:lineRule="auto"/>
        <w:rPr>
          <w:sz w:val="24"/>
          <w:szCs w:val="24"/>
        </w:rPr>
      </w:pPr>
      <w:r>
        <w:rPr>
          <w:sz w:val="24"/>
          <w:szCs w:val="24"/>
        </w:rPr>
        <w:t xml:space="preserve">Canadian Environmental Protection Act, 1999 </w:t>
      </w:r>
    </w:p>
    <w:p w:rsidR="007469B8" w:rsidRDefault="007469B8" w:rsidP="00015CA3">
      <w:pPr>
        <w:pStyle w:val="ListParagraph"/>
        <w:numPr>
          <w:ilvl w:val="0"/>
          <w:numId w:val="21"/>
        </w:numPr>
        <w:autoSpaceDE w:val="0"/>
        <w:autoSpaceDN w:val="0"/>
        <w:adjustRightInd w:val="0"/>
        <w:spacing w:after="0" w:line="240" w:lineRule="auto"/>
        <w:rPr>
          <w:sz w:val="24"/>
          <w:szCs w:val="24"/>
        </w:rPr>
      </w:pPr>
      <w:smartTag w:uri="urn:schemas-microsoft-com:office:smarttags" w:element="PostalCode">
        <w:r>
          <w:rPr>
            <w:sz w:val="24"/>
            <w:szCs w:val="24"/>
          </w:rPr>
          <w:t>Pest</w:t>
        </w:r>
      </w:smartTag>
      <w:r>
        <w:rPr>
          <w:sz w:val="24"/>
          <w:szCs w:val="24"/>
        </w:rPr>
        <w:t xml:space="preserve"> Control Products Act</w:t>
      </w:r>
    </w:p>
    <w:p w:rsidR="007469B8" w:rsidRDefault="007469B8" w:rsidP="00015CA3">
      <w:pPr>
        <w:pStyle w:val="ListParagraph"/>
        <w:numPr>
          <w:ilvl w:val="0"/>
          <w:numId w:val="21"/>
        </w:numPr>
        <w:autoSpaceDE w:val="0"/>
        <w:autoSpaceDN w:val="0"/>
        <w:adjustRightInd w:val="0"/>
        <w:spacing w:after="0" w:line="240" w:lineRule="auto"/>
        <w:rPr>
          <w:sz w:val="24"/>
          <w:szCs w:val="24"/>
        </w:rPr>
      </w:pPr>
      <w:r>
        <w:rPr>
          <w:sz w:val="24"/>
          <w:szCs w:val="24"/>
        </w:rPr>
        <w:t>Plant Protection Act</w:t>
      </w:r>
    </w:p>
    <w:p w:rsidR="007469B8" w:rsidRDefault="007469B8" w:rsidP="00015CA3">
      <w:pPr>
        <w:pStyle w:val="ListParagraph"/>
        <w:numPr>
          <w:ilvl w:val="0"/>
          <w:numId w:val="21"/>
        </w:numPr>
        <w:autoSpaceDE w:val="0"/>
        <w:autoSpaceDN w:val="0"/>
        <w:adjustRightInd w:val="0"/>
        <w:spacing w:after="0" w:line="240" w:lineRule="auto"/>
        <w:rPr>
          <w:sz w:val="24"/>
          <w:szCs w:val="24"/>
        </w:rPr>
      </w:pPr>
      <w:r>
        <w:rPr>
          <w:sz w:val="24"/>
          <w:szCs w:val="24"/>
        </w:rPr>
        <w:t xml:space="preserve">Fertilizers Act </w:t>
      </w:r>
    </w:p>
    <w:p w:rsidR="007469B8" w:rsidRDefault="007469B8" w:rsidP="00015CA3">
      <w:pPr>
        <w:pStyle w:val="ListParagraph"/>
        <w:numPr>
          <w:ilvl w:val="0"/>
          <w:numId w:val="21"/>
        </w:numPr>
        <w:autoSpaceDE w:val="0"/>
        <w:autoSpaceDN w:val="0"/>
        <w:adjustRightInd w:val="0"/>
        <w:spacing w:after="0" w:line="240" w:lineRule="auto"/>
        <w:rPr>
          <w:sz w:val="24"/>
          <w:szCs w:val="24"/>
        </w:rPr>
      </w:pPr>
      <w:r w:rsidRPr="007F02D0">
        <w:rPr>
          <w:sz w:val="24"/>
          <w:szCs w:val="24"/>
        </w:rPr>
        <w:t>Export and Import Permits Act</w:t>
      </w:r>
    </w:p>
    <w:p w:rsidR="009E2653" w:rsidRPr="007F02D0" w:rsidRDefault="009E2653" w:rsidP="00015CA3">
      <w:pPr>
        <w:pStyle w:val="ListParagraph"/>
        <w:numPr>
          <w:ilvl w:val="0"/>
          <w:numId w:val="21"/>
        </w:numPr>
        <w:autoSpaceDE w:val="0"/>
        <w:autoSpaceDN w:val="0"/>
        <w:adjustRightInd w:val="0"/>
        <w:spacing w:after="0" w:line="240" w:lineRule="auto"/>
        <w:rPr>
          <w:sz w:val="24"/>
          <w:szCs w:val="24"/>
        </w:rPr>
      </w:pPr>
      <w:r>
        <w:rPr>
          <w:sz w:val="24"/>
          <w:szCs w:val="24"/>
        </w:rPr>
        <w:t>Provincial</w:t>
      </w:r>
      <w:r w:rsidR="00C263B1">
        <w:rPr>
          <w:sz w:val="24"/>
          <w:szCs w:val="24"/>
        </w:rPr>
        <w:t xml:space="preserve"> and/or municipal</w:t>
      </w:r>
      <w:r>
        <w:rPr>
          <w:sz w:val="24"/>
          <w:szCs w:val="24"/>
        </w:rPr>
        <w:t xml:space="preserve"> plant protection acts and regulations</w:t>
      </w:r>
      <w:r>
        <w:rPr>
          <w:rStyle w:val="FootnoteReference"/>
          <w:sz w:val="24"/>
          <w:szCs w:val="24"/>
        </w:rPr>
        <w:footnoteReference w:id="2"/>
      </w:r>
    </w:p>
    <w:p w:rsidR="007469B8" w:rsidRDefault="007469B8" w:rsidP="00750C02">
      <w:pPr>
        <w:autoSpaceDE w:val="0"/>
        <w:autoSpaceDN w:val="0"/>
        <w:adjustRightInd w:val="0"/>
        <w:spacing w:after="0" w:line="240" w:lineRule="auto"/>
        <w:rPr>
          <w:sz w:val="24"/>
          <w:szCs w:val="24"/>
        </w:rPr>
      </w:pPr>
    </w:p>
    <w:p w:rsidR="00517C82" w:rsidRPr="00844B42" w:rsidRDefault="007469B8" w:rsidP="00CD5AE6">
      <w:pPr>
        <w:rPr>
          <w:sz w:val="24"/>
          <w:szCs w:val="24"/>
        </w:rPr>
      </w:pPr>
      <w:r w:rsidRPr="004C152D">
        <w:rPr>
          <w:sz w:val="24"/>
          <w:szCs w:val="24"/>
        </w:rPr>
        <w:t xml:space="preserve">Foremost among these </w:t>
      </w:r>
      <w:r w:rsidR="00DE2840">
        <w:rPr>
          <w:sz w:val="24"/>
          <w:szCs w:val="24"/>
        </w:rPr>
        <w:t>statutes</w:t>
      </w:r>
      <w:r w:rsidR="00DE2840" w:rsidRPr="004C152D">
        <w:rPr>
          <w:sz w:val="24"/>
          <w:szCs w:val="24"/>
        </w:rPr>
        <w:t xml:space="preserve"> </w:t>
      </w:r>
      <w:r w:rsidRPr="004C152D">
        <w:rPr>
          <w:sz w:val="24"/>
          <w:szCs w:val="24"/>
        </w:rPr>
        <w:t>is the Canadian Environmental Protection Act, 1999</w:t>
      </w:r>
      <w:r w:rsidR="0064743A">
        <w:rPr>
          <w:sz w:val="24"/>
          <w:szCs w:val="24"/>
        </w:rPr>
        <w:t xml:space="preserve"> (CEPA, 1999)</w:t>
      </w:r>
      <w:r w:rsidRPr="004C152D">
        <w:rPr>
          <w:sz w:val="24"/>
          <w:szCs w:val="24"/>
        </w:rPr>
        <w:t xml:space="preserve"> </w:t>
      </w:r>
      <w:r>
        <w:rPr>
          <w:sz w:val="24"/>
          <w:szCs w:val="24"/>
        </w:rPr>
        <w:fldChar w:fldCharType="begin"/>
      </w:r>
      <w:r w:rsidR="003716DB">
        <w:rPr>
          <w:sz w:val="24"/>
          <w:szCs w:val="24"/>
        </w:rPr>
        <w:instrText xml:space="preserve"> ADDIN EN.CITE &lt;EndNote&gt;&lt;Cite&gt;&lt;Author&gt;Government of Canada&lt;/Author&gt;&lt;Year&gt;1999&lt;/Year&gt;&lt;RecNum&gt;1303&lt;/RecNum&gt;&lt;DisplayText&gt;[2]&lt;/DisplayText&gt;&lt;record&gt;&lt;rec-number&gt;1303&lt;/rec-number&gt;&lt;foreign-keys&gt;&lt;key app="EN" db-id="arwppdvwa5a2xue5ttppdv2o25d0evt5rrav"&gt;1303&lt;/key&gt;&lt;/foreign-keys&gt;&lt;ref-type name="Statute"&gt;31&lt;/ref-type&gt;&lt;contributors&gt;&lt;authors&gt;&lt;author&gt;Government of Canada,,&lt;/author&gt;&lt;/authors&gt;&lt;/contributors&gt;&lt;titles&gt;&lt;title&gt;Canadian Environmental Protection Act, 1999 (S.C. 1999, c. 33)&lt;/title&gt;&lt;secondary-title&gt;S.C. 1999, c. 33&lt;/secondary-title&gt;&lt;/titles&gt;&lt;dates&gt;&lt;year&gt;1999&lt;/year&gt;&lt;/dates&gt;&lt;pub-location&gt;Canada&lt;/pub-location&gt;&lt;urls&gt;&lt;related-urls&gt;&lt;url&gt;http://laws-lois.justice.gc.ca/eng/acts/c-15.31/&lt;/url&gt;&lt;/related-urls&gt;&lt;/urls&gt;&lt;/record&gt;&lt;/Cite&gt;&lt;/EndNote&gt;</w:instrText>
      </w:r>
      <w:r>
        <w:rPr>
          <w:sz w:val="24"/>
          <w:szCs w:val="24"/>
        </w:rPr>
        <w:fldChar w:fldCharType="separate"/>
      </w:r>
      <w:r w:rsidR="003716DB">
        <w:rPr>
          <w:sz w:val="24"/>
          <w:szCs w:val="24"/>
        </w:rPr>
        <w:t>[</w:t>
      </w:r>
      <w:hyperlink w:anchor="_ENREF_2" w:tooltip="Government of Canada, 1999 #1303" w:history="1">
        <w:r w:rsidR="002223E5">
          <w:rPr>
            <w:sz w:val="24"/>
            <w:szCs w:val="24"/>
          </w:rPr>
          <w:t>2</w:t>
        </w:r>
      </w:hyperlink>
      <w:r w:rsidR="003716DB">
        <w:rPr>
          <w:sz w:val="24"/>
          <w:szCs w:val="24"/>
        </w:rPr>
        <w:t>]</w:t>
      </w:r>
      <w:r>
        <w:rPr>
          <w:sz w:val="24"/>
          <w:szCs w:val="24"/>
        </w:rPr>
        <w:fldChar w:fldCharType="end"/>
      </w:r>
      <w:r w:rsidRPr="004C152D">
        <w:rPr>
          <w:sz w:val="24"/>
          <w:szCs w:val="24"/>
        </w:rPr>
        <w:t xml:space="preserve"> and the New Substances Notification Regulations (Organisms) (NSNR(O)), which </w:t>
      </w:r>
      <w:r w:rsidRPr="004C152D">
        <w:rPr>
          <w:sz w:val="24"/>
          <w:szCs w:val="24"/>
        </w:rPr>
        <w:lastRenderedPageBreak/>
        <w:t xml:space="preserve">implement </w:t>
      </w:r>
      <w:r w:rsidRPr="00844B42">
        <w:rPr>
          <w:sz w:val="24"/>
          <w:szCs w:val="24"/>
        </w:rPr>
        <w:t xml:space="preserve">Part 6 of CEPA, 1999 and outline notification and information requirements for any person planning to import into Canada or manufacture (produce) a living organism that is new to Canada </w:t>
      </w:r>
      <w:r w:rsidRPr="00844B42">
        <w:rPr>
          <w:sz w:val="24"/>
          <w:szCs w:val="24"/>
        </w:rPr>
        <w:fldChar w:fldCharType="begin"/>
      </w:r>
      <w:r w:rsidR="003716DB" w:rsidRPr="00844B42">
        <w:rPr>
          <w:sz w:val="24"/>
          <w:szCs w:val="24"/>
        </w:rPr>
        <w:instrText xml:space="preserve"> ADDIN EN.CITE &lt;EndNote&gt;&lt;Cite&gt;&lt;Author&gt;Government of Canada&lt;/Author&gt;&lt;Year&gt;2005&lt;/Year&gt;&lt;RecNum&gt;1304&lt;/RecNum&gt;&lt;DisplayText&gt;[3]&lt;/DisplayText&gt;&lt;record&gt;&lt;rec-number&gt;1304&lt;/rec-number&gt;&lt;foreign-keys&gt;&lt;key app="EN" db-id="arwppdvwa5a2xue5ttppdv2o25d0evt5rrav"&gt;1304&lt;/key&gt;&lt;/foreign-keys&gt;&lt;ref-type name="Statute"&gt;31&lt;/ref-type&gt;&lt;contributors&gt;&lt;authors&gt;&lt;author&gt;Government of Canada,,&lt;/author&gt;&lt;/authors&gt;&lt;/contributors&gt;&lt;titles&gt;&lt;title&gt;New Substances Notification Regulations (Organisms) (SOR/2005-248)&lt;/title&gt;&lt;secondary-title&gt;SOR/2005-248&lt;/secondary-title&gt;&lt;/titles&gt;&lt;dates&gt;&lt;year&gt;2005&lt;/year&gt;&lt;/dates&gt;&lt;pub-location&gt;Canada&lt;/pub-location&gt;&lt;urls&gt;&lt;related-urls&gt;&lt;url&gt;http://laws-lois.justice.gc.ca/eng/regulations/SOR-2005-248/index.html&lt;/url&gt;&lt;/related-urls&gt;&lt;/urls&gt;&lt;/record&gt;&lt;/Cite&gt;&lt;/EndNote&gt;</w:instrText>
      </w:r>
      <w:r w:rsidRPr="00844B42">
        <w:rPr>
          <w:sz w:val="24"/>
          <w:szCs w:val="24"/>
        </w:rPr>
        <w:fldChar w:fldCharType="separate"/>
      </w:r>
      <w:r w:rsidR="003716DB" w:rsidRPr="00844B42">
        <w:rPr>
          <w:sz w:val="24"/>
          <w:szCs w:val="24"/>
        </w:rPr>
        <w:t>[</w:t>
      </w:r>
      <w:hyperlink w:anchor="_ENREF_3" w:tooltip="Government of Canada, 2005 #1304" w:history="1">
        <w:r w:rsidR="002223E5" w:rsidRPr="00844B42">
          <w:rPr>
            <w:sz w:val="24"/>
            <w:szCs w:val="24"/>
          </w:rPr>
          <w:t>3</w:t>
        </w:r>
      </w:hyperlink>
      <w:r w:rsidR="003716DB" w:rsidRPr="00844B42">
        <w:rPr>
          <w:sz w:val="24"/>
          <w:szCs w:val="24"/>
        </w:rPr>
        <w:t>]</w:t>
      </w:r>
      <w:r w:rsidRPr="00844B42">
        <w:rPr>
          <w:sz w:val="24"/>
          <w:szCs w:val="24"/>
        </w:rPr>
        <w:fldChar w:fldCharType="end"/>
      </w:r>
      <w:r w:rsidRPr="00844B42">
        <w:rPr>
          <w:sz w:val="24"/>
          <w:szCs w:val="24"/>
        </w:rPr>
        <w:t>.  It is important to note that</w:t>
      </w:r>
      <w:r w:rsidR="0025522A">
        <w:rPr>
          <w:sz w:val="24"/>
          <w:szCs w:val="24"/>
        </w:rPr>
        <w:t xml:space="preserve"> under this legislation,</w:t>
      </w:r>
      <w:r w:rsidRPr="00844B42">
        <w:rPr>
          <w:sz w:val="24"/>
          <w:szCs w:val="24"/>
        </w:rPr>
        <w:t xml:space="preserve"> any living organism that does not reside on the Domestic Substances List</w:t>
      </w:r>
      <w:r w:rsidR="0025522A">
        <w:rPr>
          <w:sz w:val="24"/>
          <w:szCs w:val="24"/>
        </w:rPr>
        <w:t xml:space="preserve"> is considered “new”</w:t>
      </w:r>
      <w:r w:rsidRPr="00844B42">
        <w:rPr>
          <w:sz w:val="24"/>
          <w:szCs w:val="24"/>
        </w:rPr>
        <w:t>. By this definition all plant pathogens are ‘new’ to Canada and therefore subject to the NSN</w:t>
      </w:r>
      <w:r w:rsidR="00517C82" w:rsidRPr="00844B42">
        <w:rPr>
          <w:sz w:val="24"/>
          <w:szCs w:val="24"/>
        </w:rPr>
        <w:t>R</w:t>
      </w:r>
      <w:r w:rsidRPr="00844B42">
        <w:rPr>
          <w:sz w:val="24"/>
          <w:szCs w:val="24"/>
        </w:rPr>
        <w:t xml:space="preserve">(O) regulations. </w:t>
      </w:r>
      <w:r w:rsidR="00CC6824" w:rsidRPr="00844B42">
        <w:rPr>
          <w:sz w:val="24"/>
          <w:szCs w:val="24"/>
        </w:rPr>
        <w:t>Nonetheless, c</w:t>
      </w:r>
      <w:r w:rsidR="00517C82" w:rsidRPr="00844B42">
        <w:rPr>
          <w:sz w:val="24"/>
          <w:szCs w:val="24"/>
        </w:rPr>
        <w:t>ertain microorganisms may be exempt from notification</w:t>
      </w:r>
      <w:r w:rsidR="00CC6824" w:rsidRPr="00844B42">
        <w:rPr>
          <w:sz w:val="24"/>
          <w:szCs w:val="24"/>
        </w:rPr>
        <w:t xml:space="preserve"> if certain conditions are met.</w:t>
      </w:r>
      <w:r w:rsidR="0025522A">
        <w:rPr>
          <w:rStyle w:val="FootnoteReference"/>
          <w:sz w:val="24"/>
          <w:szCs w:val="24"/>
        </w:rPr>
        <w:footnoteReference w:id="3"/>
      </w:r>
      <w:r w:rsidR="00CC6824" w:rsidRPr="00844B42">
        <w:rPr>
          <w:sz w:val="24"/>
          <w:szCs w:val="24"/>
        </w:rPr>
        <w:t xml:space="preserve"> </w:t>
      </w:r>
    </w:p>
    <w:p w:rsidR="00CC6824" w:rsidRPr="00DF2622" w:rsidRDefault="00CC6824" w:rsidP="00DF2622">
      <w:pPr>
        <w:pStyle w:val="ListParagraph"/>
        <w:numPr>
          <w:ilvl w:val="0"/>
          <w:numId w:val="29"/>
        </w:numPr>
        <w:rPr>
          <w:sz w:val="24"/>
          <w:szCs w:val="24"/>
        </w:rPr>
      </w:pPr>
      <w:r w:rsidRPr="00DF2622">
        <w:rPr>
          <w:sz w:val="24"/>
          <w:szCs w:val="24"/>
        </w:rPr>
        <w:t>The organism is naturally</w:t>
      </w:r>
      <w:r w:rsidR="000A5F0D">
        <w:rPr>
          <w:sz w:val="24"/>
          <w:szCs w:val="24"/>
        </w:rPr>
        <w:t xml:space="preserve"> </w:t>
      </w:r>
      <w:r w:rsidRPr="00DF2622">
        <w:rPr>
          <w:sz w:val="24"/>
          <w:szCs w:val="24"/>
        </w:rPr>
        <w:t>occurring and has been isolated from the Canadian environment;</w:t>
      </w:r>
    </w:p>
    <w:p w:rsidR="00CC6824" w:rsidRPr="00DF2622" w:rsidRDefault="00CC6824" w:rsidP="00DF2622">
      <w:pPr>
        <w:pStyle w:val="ListParagraph"/>
        <w:numPr>
          <w:ilvl w:val="0"/>
          <w:numId w:val="29"/>
        </w:numPr>
        <w:rPr>
          <w:sz w:val="24"/>
          <w:szCs w:val="24"/>
        </w:rPr>
      </w:pPr>
      <w:r w:rsidRPr="00DF2622">
        <w:rPr>
          <w:sz w:val="24"/>
          <w:szCs w:val="24"/>
        </w:rPr>
        <w:t>The organism has been accurately identified;</w:t>
      </w:r>
    </w:p>
    <w:p w:rsidR="00CC6824" w:rsidRPr="00DF2622" w:rsidRDefault="00CC6824" w:rsidP="00DF2622">
      <w:pPr>
        <w:pStyle w:val="ListParagraph"/>
        <w:numPr>
          <w:ilvl w:val="0"/>
          <w:numId w:val="29"/>
        </w:numPr>
        <w:rPr>
          <w:sz w:val="24"/>
          <w:szCs w:val="24"/>
        </w:rPr>
      </w:pPr>
      <w:r w:rsidRPr="00DF2622">
        <w:rPr>
          <w:sz w:val="24"/>
          <w:szCs w:val="24"/>
        </w:rPr>
        <w:t>The organism is to be released only in agricultural field trials;</w:t>
      </w:r>
    </w:p>
    <w:p w:rsidR="00CC6824" w:rsidRPr="00DF2622" w:rsidRDefault="00CC6824" w:rsidP="00DF2622">
      <w:pPr>
        <w:pStyle w:val="ListParagraph"/>
        <w:numPr>
          <w:ilvl w:val="0"/>
          <w:numId w:val="29"/>
        </w:numPr>
        <w:rPr>
          <w:sz w:val="24"/>
          <w:szCs w:val="24"/>
        </w:rPr>
      </w:pPr>
      <w:r w:rsidRPr="00DF2622">
        <w:rPr>
          <w:sz w:val="24"/>
          <w:szCs w:val="24"/>
        </w:rPr>
        <w:t>Manufacture (scaling-up, production</w:t>
      </w:r>
      <w:r w:rsidR="000A5F0D">
        <w:rPr>
          <w:sz w:val="24"/>
          <w:szCs w:val="24"/>
        </w:rPr>
        <w:t>,</w:t>
      </w:r>
      <w:r w:rsidRPr="00DF2622">
        <w:rPr>
          <w:sz w:val="24"/>
          <w:szCs w:val="24"/>
        </w:rPr>
        <w:t xml:space="preserve"> or culturing) and activities related to the release of the organism at the trial site are conducted in a manner that conforms to a recognized Code of Practice established to minimize dispersal of the organism and any potential impacts to the environment and human health.</w:t>
      </w:r>
    </w:p>
    <w:p w:rsidR="00CC6824" w:rsidRPr="00DF2622" w:rsidRDefault="00CC6824" w:rsidP="00DF2622">
      <w:pPr>
        <w:pStyle w:val="ListParagraph"/>
        <w:numPr>
          <w:ilvl w:val="0"/>
          <w:numId w:val="29"/>
        </w:numPr>
        <w:rPr>
          <w:sz w:val="24"/>
          <w:szCs w:val="24"/>
        </w:rPr>
      </w:pPr>
      <w:r w:rsidRPr="00DF2622">
        <w:rPr>
          <w:sz w:val="24"/>
          <w:szCs w:val="24"/>
        </w:rPr>
        <w:t>The quantity manufactured and released at any one time is limited to the minimum quantity required to meet the objectives of the field trial; and</w:t>
      </w:r>
    </w:p>
    <w:p w:rsidR="00CC6824" w:rsidRPr="00DF2622" w:rsidRDefault="00CC6824" w:rsidP="00DF2622">
      <w:pPr>
        <w:pStyle w:val="ListParagraph"/>
        <w:numPr>
          <w:ilvl w:val="0"/>
          <w:numId w:val="29"/>
        </w:numPr>
        <w:rPr>
          <w:sz w:val="24"/>
          <w:szCs w:val="24"/>
        </w:rPr>
      </w:pPr>
      <w:r w:rsidRPr="00DF2622">
        <w:rPr>
          <w:sz w:val="24"/>
          <w:szCs w:val="24"/>
        </w:rPr>
        <w:t>The field trial uses the minimum area, consisting of one or more sites as required to meet the objectives of the field study.</w:t>
      </w:r>
    </w:p>
    <w:p w:rsidR="007469B8" w:rsidRDefault="004A32A2" w:rsidP="00CD5AE6">
      <w:pPr>
        <w:rPr>
          <w:sz w:val="24"/>
          <w:szCs w:val="24"/>
        </w:rPr>
      </w:pPr>
      <w:r>
        <w:rPr>
          <w:sz w:val="24"/>
          <w:szCs w:val="24"/>
        </w:rPr>
        <w:t xml:space="preserve">Other </w:t>
      </w:r>
      <w:r w:rsidR="00121E23">
        <w:rPr>
          <w:sz w:val="24"/>
          <w:szCs w:val="24"/>
        </w:rPr>
        <w:t xml:space="preserve">federal </w:t>
      </w:r>
      <w:r>
        <w:rPr>
          <w:sz w:val="24"/>
          <w:szCs w:val="24"/>
        </w:rPr>
        <w:t>Acts and associated regulations that may apply to the manufacture and application of plant pathogens include t</w:t>
      </w:r>
      <w:r w:rsidR="007469B8">
        <w:rPr>
          <w:sz w:val="24"/>
          <w:szCs w:val="24"/>
        </w:rPr>
        <w:t>he</w:t>
      </w:r>
      <w:r w:rsidR="007469B8" w:rsidRPr="004C152D">
        <w:rPr>
          <w:sz w:val="24"/>
          <w:szCs w:val="24"/>
        </w:rPr>
        <w:t xml:space="preserve"> Pest Control Products Act (PCPA)</w:t>
      </w:r>
      <w:r>
        <w:rPr>
          <w:sz w:val="24"/>
          <w:szCs w:val="24"/>
        </w:rPr>
        <w:t xml:space="preserve">, </w:t>
      </w:r>
      <w:r w:rsidR="00E60430">
        <w:rPr>
          <w:sz w:val="24"/>
          <w:szCs w:val="24"/>
        </w:rPr>
        <w:t>which</w:t>
      </w:r>
      <w:r w:rsidR="007469B8" w:rsidRPr="004C152D">
        <w:rPr>
          <w:sz w:val="24"/>
          <w:szCs w:val="24"/>
        </w:rPr>
        <w:t xml:space="preserve"> regulates the use of microorganisms used to control pests </w:t>
      </w:r>
      <w:r w:rsidR="007469B8">
        <w:rPr>
          <w:sz w:val="24"/>
          <w:szCs w:val="24"/>
        </w:rPr>
        <w:fldChar w:fldCharType="begin"/>
      </w:r>
      <w:r w:rsidR="003716DB">
        <w:rPr>
          <w:sz w:val="24"/>
          <w:szCs w:val="24"/>
        </w:rPr>
        <w:instrText xml:space="preserve"> ADDIN EN.CITE &lt;EndNote&gt;&lt;Cite&gt;&lt;Author&gt;Government of Canada&lt;/Author&gt;&lt;Year&gt;2006&lt;/Year&gt;&lt;RecNum&gt;13&lt;/RecNum&gt;&lt;DisplayText&gt;[4]&lt;/DisplayText&gt;&lt;record&gt;&lt;rec-number&gt;13&lt;/rec-number&gt;&lt;foreign-keys&gt;&lt;key app="EN" db-id="arwppdvwa5a2xue5ttppdv2o25d0evt5rrav"&gt;13&lt;/key&gt;&lt;/foreign-keys&gt;&lt;ref-type name="Statute"&gt;31&lt;/ref-type&gt;&lt;contributors&gt;&lt;authors&gt;&lt;author&gt;Government of Canada,,&lt;/author&gt;&lt;/authors&gt;&lt;/contributors&gt;&lt;titles&gt;&lt;title&gt;Pest Control Products Act&lt;/title&gt;&lt;secondary-title&gt;S.C. 2002, C. 28&lt;/secondary-title&gt;&lt;/titles&gt;&lt;keywords&gt;&lt;keyword&gt;MB Consultation, PMRA&lt;/keyword&gt;&lt;/keywords&gt;&lt;dates&gt;&lt;year&gt;2006&lt;/year&gt;&lt;/dates&gt;&lt;pub-location&gt;Canada&lt;/pub-location&gt;&lt;urls&gt;&lt;related-urls&gt;&lt;url&gt;http://laws-lois.justice.gc.ca/eng/acts/P-9.01/&lt;/url&gt;&lt;/related-urls&gt;&lt;/urls&gt;&lt;/record&gt;&lt;/Cite&gt;&lt;/EndNote&gt;</w:instrText>
      </w:r>
      <w:r w:rsidR="007469B8">
        <w:rPr>
          <w:sz w:val="24"/>
          <w:szCs w:val="24"/>
        </w:rPr>
        <w:fldChar w:fldCharType="separate"/>
      </w:r>
      <w:r w:rsidR="003716DB">
        <w:rPr>
          <w:noProof/>
          <w:sz w:val="24"/>
          <w:szCs w:val="24"/>
        </w:rPr>
        <w:t>[</w:t>
      </w:r>
      <w:hyperlink w:anchor="_ENREF_4" w:tooltip="Government of Canada, 2006 #13" w:history="1">
        <w:r w:rsidR="002223E5">
          <w:rPr>
            <w:noProof/>
            <w:sz w:val="24"/>
            <w:szCs w:val="24"/>
          </w:rPr>
          <w:t>4</w:t>
        </w:r>
      </w:hyperlink>
      <w:r w:rsidR="003716DB">
        <w:rPr>
          <w:noProof/>
          <w:sz w:val="24"/>
          <w:szCs w:val="24"/>
        </w:rPr>
        <w:t>]</w:t>
      </w:r>
      <w:r w:rsidR="007469B8">
        <w:rPr>
          <w:sz w:val="24"/>
          <w:szCs w:val="24"/>
        </w:rPr>
        <w:fldChar w:fldCharType="end"/>
      </w:r>
      <w:r w:rsidR="007469B8">
        <w:rPr>
          <w:sz w:val="24"/>
          <w:szCs w:val="24"/>
        </w:rPr>
        <w:t>;</w:t>
      </w:r>
      <w:r w:rsidR="007469B8" w:rsidRPr="004C152D">
        <w:rPr>
          <w:sz w:val="24"/>
          <w:szCs w:val="24"/>
        </w:rPr>
        <w:t xml:space="preserve"> the Plant Protection Act </w:t>
      </w:r>
      <w:r w:rsidR="007469B8">
        <w:rPr>
          <w:sz w:val="24"/>
          <w:szCs w:val="24"/>
        </w:rPr>
        <w:t>and regulations</w:t>
      </w:r>
      <w:r>
        <w:rPr>
          <w:sz w:val="24"/>
          <w:szCs w:val="24"/>
        </w:rPr>
        <w:t>, which</w:t>
      </w:r>
      <w:r w:rsidR="007469B8">
        <w:rPr>
          <w:sz w:val="24"/>
          <w:szCs w:val="24"/>
        </w:rPr>
        <w:t xml:space="preserve"> prohibit or restrict the movement into, within, and out of Canada of any plant pest </w:t>
      </w:r>
      <w:r w:rsidR="007469B8">
        <w:rPr>
          <w:sz w:val="24"/>
          <w:szCs w:val="24"/>
        </w:rPr>
        <w:fldChar w:fldCharType="begin"/>
      </w:r>
      <w:r w:rsidR="003716DB">
        <w:rPr>
          <w:sz w:val="24"/>
          <w:szCs w:val="24"/>
        </w:rPr>
        <w:instrText xml:space="preserve"> ADDIN EN.CITE &lt;EndNote&gt;&lt;Cite&gt;&lt;Author&gt;Government of Canada&lt;/Author&gt;&lt;Year&gt;1990&lt;/Year&gt;&lt;RecNum&gt;1305&lt;/RecNum&gt;&lt;DisplayText&gt;[5]&lt;/DisplayText&gt;&lt;record&gt;&lt;rec-number&gt;1305&lt;/rec-number&gt;&lt;foreign-keys&gt;&lt;key app="EN" db-id="arwppdvwa5a2xue5ttppdv2o25d0evt5rrav"&gt;1305&lt;/key&gt;&lt;/foreign-keys&gt;&lt;ref-type name="Statute"&gt;31&lt;/ref-type&gt;&lt;contributors&gt;&lt;authors&gt;&lt;author&gt;Government of Canada,,&lt;/author&gt;&lt;/authors&gt;&lt;/contributors&gt;&lt;titles&gt;&lt;title&gt;Plant Protection Act (S.C. 1990, c. 22)&lt;/title&gt;&lt;secondary-title&gt;S.C. 1990, c. 22&lt;/secondary-title&gt;&lt;/titles&gt;&lt;dates&gt;&lt;year&gt;1990&lt;/year&gt;&lt;/dates&gt;&lt;pub-location&gt;Canada&lt;/pub-location&gt;&lt;urls&gt;&lt;related-urls&gt;&lt;url&gt;http://laws-lois.justice.gc.ca/eng/acts/P-14.8/&lt;/url&gt;&lt;/related-urls&gt;&lt;/urls&gt;&lt;/record&gt;&lt;/Cite&gt;&lt;/EndNote&gt;</w:instrText>
      </w:r>
      <w:r w:rsidR="007469B8">
        <w:rPr>
          <w:sz w:val="24"/>
          <w:szCs w:val="24"/>
        </w:rPr>
        <w:fldChar w:fldCharType="separate"/>
      </w:r>
      <w:r w:rsidR="003716DB">
        <w:rPr>
          <w:noProof/>
          <w:sz w:val="24"/>
          <w:szCs w:val="24"/>
        </w:rPr>
        <w:t>[</w:t>
      </w:r>
      <w:hyperlink w:anchor="_ENREF_5" w:tooltip="Government of Canada, 1990 #1305" w:history="1">
        <w:r w:rsidR="002223E5">
          <w:rPr>
            <w:noProof/>
            <w:sz w:val="24"/>
            <w:szCs w:val="24"/>
          </w:rPr>
          <w:t>5</w:t>
        </w:r>
      </w:hyperlink>
      <w:r w:rsidR="003716DB">
        <w:rPr>
          <w:noProof/>
          <w:sz w:val="24"/>
          <w:szCs w:val="24"/>
        </w:rPr>
        <w:t>]</w:t>
      </w:r>
      <w:r w:rsidR="007469B8">
        <w:rPr>
          <w:sz w:val="24"/>
          <w:szCs w:val="24"/>
        </w:rPr>
        <w:fldChar w:fldCharType="end"/>
      </w:r>
      <w:r w:rsidR="007469B8">
        <w:rPr>
          <w:sz w:val="24"/>
          <w:szCs w:val="24"/>
        </w:rPr>
        <w:t>; the Fertilizers Act</w:t>
      </w:r>
      <w:r>
        <w:rPr>
          <w:sz w:val="24"/>
          <w:szCs w:val="24"/>
        </w:rPr>
        <w:t>, which</w:t>
      </w:r>
      <w:r w:rsidR="007469B8">
        <w:rPr>
          <w:sz w:val="24"/>
          <w:szCs w:val="24"/>
        </w:rPr>
        <w:t xml:space="preserve"> regulates the use of microorganisms as plant supplements</w:t>
      </w:r>
      <w:r w:rsidR="000E2BFA">
        <w:rPr>
          <w:sz w:val="24"/>
          <w:szCs w:val="24"/>
        </w:rPr>
        <w:t xml:space="preserve"> </w:t>
      </w:r>
      <w:r w:rsidR="000E2BFA">
        <w:rPr>
          <w:sz w:val="24"/>
          <w:szCs w:val="24"/>
        </w:rPr>
        <w:fldChar w:fldCharType="begin"/>
      </w:r>
      <w:r w:rsidR="000E2BFA">
        <w:rPr>
          <w:sz w:val="24"/>
          <w:szCs w:val="24"/>
        </w:rPr>
        <w:instrText xml:space="preserve"> ADDIN EN.CITE &lt;EndNote&gt;&lt;Cite&gt;&lt;Author&gt;Government of Canada&lt;/Author&gt;&lt;Year&gt;1985&lt;/Year&gt;&lt;RecNum&gt;1386&lt;/RecNum&gt;&lt;DisplayText&gt;[6]&lt;/DisplayText&gt;&lt;record&gt;&lt;rec-number&gt;1386&lt;/rec-number&gt;&lt;foreign-keys&gt;&lt;key app="EN" db-id="arwppdvwa5a2xue5ttppdv2o25d0evt5rrav"&gt;1386&lt;/key&gt;&lt;/foreign-keys&gt;&lt;ref-type name="Statute"&gt;31&lt;/ref-type&gt;&lt;contributors&gt;&lt;authors&gt;&lt;author&gt;Government of Canada,,&lt;/author&gt;&lt;/authors&gt;&lt;/contributors&gt;&lt;titles&gt;&lt;title&gt;Fertilizers Act R.S.C., 1985, c.F-10&lt;/title&gt;&lt;secondary-title&gt;R.S.C., 1985, c.F-10&lt;/secondary-title&gt;&lt;/titles&gt;&lt;dates&gt;&lt;year&gt;1985&lt;/year&gt;&lt;/dates&gt;&lt;pub-location&gt;Canada&lt;/pub-location&gt;&lt;urls&gt;&lt;related-urls&gt;&lt;url&gt;http://laws-lois.justice.gc.ca/eng/acts/F-10/&lt;/url&gt;&lt;/related-urls&gt;&lt;/urls&gt;&lt;/record&gt;&lt;/Cite&gt;&lt;/EndNote&gt;</w:instrText>
      </w:r>
      <w:r w:rsidR="000E2BFA">
        <w:rPr>
          <w:sz w:val="24"/>
          <w:szCs w:val="24"/>
        </w:rPr>
        <w:fldChar w:fldCharType="separate"/>
      </w:r>
      <w:r w:rsidR="000E2BFA">
        <w:rPr>
          <w:noProof/>
          <w:sz w:val="24"/>
          <w:szCs w:val="24"/>
        </w:rPr>
        <w:t>[</w:t>
      </w:r>
      <w:hyperlink w:anchor="_ENREF_6" w:tooltip="Government of Canada, 1985 #1386" w:history="1">
        <w:r w:rsidR="002223E5">
          <w:rPr>
            <w:noProof/>
            <w:sz w:val="24"/>
            <w:szCs w:val="24"/>
          </w:rPr>
          <w:t>6</w:t>
        </w:r>
      </w:hyperlink>
      <w:r w:rsidR="000E2BFA">
        <w:rPr>
          <w:noProof/>
          <w:sz w:val="24"/>
          <w:szCs w:val="24"/>
        </w:rPr>
        <w:t>]</w:t>
      </w:r>
      <w:r w:rsidR="000E2BFA">
        <w:rPr>
          <w:sz w:val="24"/>
          <w:szCs w:val="24"/>
        </w:rPr>
        <w:fldChar w:fldCharType="end"/>
      </w:r>
      <w:r w:rsidR="007469B8">
        <w:rPr>
          <w:sz w:val="24"/>
          <w:szCs w:val="24"/>
        </w:rPr>
        <w:t>; and the Export and Import Permits Act</w:t>
      </w:r>
      <w:r>
        <w:rPr>
          <w:sz w:val="24"/>
          <w:szCs w:val="24"/>
        </w:rPr>
        <w:t>, which</w:t>
      </w:r>
      <w:r w:rsidR="007469B8">
        <w:rPr>
          <w:sz w:val="24"/>
          <w:szCs w:val="24"/>
        </w:rPr>
        <w:t xml:space="preserve"> regulates any plant pathogens that could be used to develop biological weapons </w:t>
      </w:r>
      <w:r w:rsidR="007469B8">
        <w:rPr>
          <w:sz w:val="24"/>
          <w:szCs w:val="24"/>
        </w:rPr>
        <w:fldChar w:fldCharType="begin"/>
      </w:r>
      <w:r w:rsidR="000E2BFA">
        <w:rPr>
          <w:sz w:val="24"/>
          <w:szCs w:val="24"/>
        </w:rPr>
        <w:instrText xml:space="preserve"> ADDIN EN.CITE &lt;EndNote&gt;&lt;Cite&gt;&lt;Author&gt;Government of Canada&lt;/Author&gt;&lt;Year&gt;1985&lt;/Year&gt;&lt;RecNum&gt;1329&lt;/RecNum&gt;&lt;DisplayText&gt;[7]&lt;/DisplayText&gt;&lt;record&gt;&lt;rec-number&gt;1329&lt;/rec-number&gt;&lt;foreign-keys&gt;&lt;key app="EN" db-id="arwppdvwa5a2xue5ttppdv2o25d0evt5rrav"&gt;1329&lt;/key&gt;&lt;/foreign-keys&gt;&lt;ref-type name="Statute"&gt;31&lt;/ref-type&gt;&lt;contributors&gt;&lt;authors&gt;&lt;author&gt;Government of Canada,&lt;/author&gt;&lt;/authors&gt;&lt;/contributors&gt;&lt;titles&gt;&lt;title&gt;Export and Import Permits Act (R.S.C., 1985, c. E-19)&lt;/title&gt;&lt;secondary-title&gt;R.S.C., 1985, c. E-19&lt;/secondary-title&gt;&lt;/titles&gt;&lt;dates&gt;&lt;year&gt;1985&lt;/year&gt;&lt;/dates&gt;&lt;pub-location&gt;Canada&lt;/pub-location&gt;&lt;urls&gt;&lt;related-urls&gt;&lt;url&gt;http://laws.justice.gc.ca/eng/acts/e-19/page-1.html&lt;/url&gt;&lt;/related-urls&gt;&lt;/urls&gt;&lt;/record&gt;&lt;/Cite&gt;&lt;/EndNote&gt;</w:instrText>
      </w:r>
      <w:r w:rsidR="007469B8">
        <w:rPr>
          <w:sz w:val="24"/>
          <w:szCs w:val="24"/>
        </w:rPr>
        <w:fldChar w:fldCharType="separate"/>
      </w:r>
      <w:r w:rsidR="000E2BFA">
        <w:rPr>
          <w:noProof/>
          <w:sz w:val="24"/>
          <w:szCs w:val="24"/>
        </w:rPr>
        <w:t>[</w:t>
      </w:r>
      <w:hyperlink w:anchor="_ENREF_7" w:tooltip="Government of Canada, 1985 #1329" w:history="1">
        <w:r w:rsidR="002223E5">
          <w:rPr>
            <w:noProof/>
            <w:sz w:val="24"/>
            <w:szCs w:val="24"/>
          </w:rPr>
          <w:t>7</w:t>
        </w:r>
      </w:hyperlink>
      <w:r w:rsidR="000E2BFA">
        <w:rPr>
          <w:noProof/>
          <w:sz w:val="24"/>
          <w:szCs w:val="24"/>
        </w:rPr>
        <w:t>]</w:t>
      </w:r>
      <w:r w:rsidR="007469B8">
        <w:rPr>
          <w:sz w:val="24"/>
          <w:szCs w:val="24"/>
        </w:rPr>
        <w:fldChar w:fldCharType="end"/>
      </w:r>
      <w:r w:rsidR="007469B8" w:rsidRPr="004C152D">
        <w:rPr>
          <w:sz w:val="24"/>
          <w:szCs w:val="24"/>
        </w:rPr>
        <w:t>.</w:t>
      </w:r>
      <w:r w:rsidR="007469B8">
        <w:rPr>
          <w:sz w:val="24"/>
          <w:szCs w:val="24"/>
        </w:rPr>
        <w:t xml:space="preserve"> </w:t>
      </w:r>
      <w:r w:rsidR="007469B8" w:rsidRPr="004C152D">
        <w:rPr>
          <w:sz w:val="24"/>
          <w:szCs w:val="24"/>
        </w:rPr>
        <w:t xml:space="preserve">  </w:t>
      </w:r>
    </w:p>
    <w:p w:rsidR="007469B8" w:rsidRDefault="007469B8" w:rsidP="00CD5AE6">
      <w:pPr>
        <w:rPr>
          <w:sz w:val="24"/>
          <w:szCs w:val="24"/>
        </w:rPr>
      </w:pPr>
      <w:r w:rsidRPr="004C152D">
        <w:rPr>
          <w:sz w:val="24"/>
          <w:szCs w:val="24"/>
        </w:rPr>
        <w:t>Additional provincial regulations may also cover the use and/or movement of plant pathogens within their jurisdictions</w:t>
      </w:r>
      <w:r>
        <w:rPr>
          <w:sz w:val="24"/>
          <w:szCs w:val="24"/>
        </w:rPr>
        <w:t>. Researchers sh</w:t>
      </w:r>
      <w:r w:rsidRPr="004C152D">
        <w:rPr>
          <w:sz w:val="24"/>
          <w:szCs w:val="24"/>
        </w:rPr>
        <w:t>ould con</w:t>
      </w:r>
      <w:r>
        <w:rPr>
          <w:sz w:val="24"/>
          <w:szCs w:val="24"/>
        </w:rPr>
        <w:t>sult the appropriate regulatory bodies within their own province</w:t>
      </w:r>
      <w:r w:rsidRPr="004C152D">
        <w:rPr>
          <w:sz w:val="24"/>
          <w:szCs w:val="24"/>
        </w:rPr>
        <w:t xml:space="preserve"> prior to commencement of field or greenhouse trials. </w:t>
      </w:r>
    </w:p>
    <w:p w:rsidR="007469B8" w:rsidRDefault="007469B8">
      <w:pPr>
        <w:rPr>
          <w:rFonts w:ascii="Cambria" w:hAnsi="Cambria"/>
          <w:b/>
          <w:bCs/>
          <w:color w:val="365F91"/>
          <w:sz w:val="28"/>
          <w:szCs w:val="28"/>
          <w:lang w:val="en-US"/>
        </w:rPr>
      </w:pPr>
      <w:r>
        <w:rPr>
          <w:lang w:val="en-US"/>
        </w:rPr>
        <w:br w:type="page"/>
      </w:r>
    </w:p>
    <w:p w:rsidR="007469B8" w:rsidRDefault="007469B8" w:rsidP="00F21833">
      <w:pPr>
        <w:pStyle w:val="Heading1"/>
        <w:rPr>
          <w:lang w:val="en-US"/>
        </w:rPr>
      </w:pPr>
      <w:bookmarkStart w:id="4" w:name="_Toc387918940"/>
      <w:r>
        <w:rPr>
          <w:lang w:val="en-US"/>
        </w:rPr>
        <w:lastRenderedPageBreak/>
        <w:t>Definitions</w:t>
      </w:r>
      <w:bookmarkEnd w:id="4"/>
    </w:p>
    <w:p w:rsidR="007469B8" w:rsidRDefault="007469B8" w:rsidP="00F21833">
      <w:pPr>
        <w:spacing w:line="240" w:lineRule="auto"/>
        <w:rPr>
          <w:sz w:val="24"/>
          <w:szCs w:val="24"/>
        </w:rPr>
      </w:pPr>
      <w:r w:rsidRPr="001C63A0">
        <w:rPr>
          <w:b/>
          <w:sz w:val="24"/>
          <w:szCs w:val="24"/>
          <w:lang w:val="en-US"/>
        </w:rPr>
        <w:t xml:space="preserve">Containment: </w:t>
      </w:r>
      <w:r w:rsidRPr="009C2B5D">
        <w:rPr>
          <w:sz w:val="24"/>
          <w:szCs w:val="24"/>
        </w:rPr>
        <w:t>Restricting plant pests to their intended locations through the use of operational procedures, physical barriers and facility design</w:t>
      </w:r>
      <w:r>
        <w:rPr>
          <w:sz w:val="24"/>
          <w:szCs w:val="24"/>
        </w:rPr>
        <w:t xml:space="preserve"> </w:t>
      </w:r>
      <w:r>
        <w:rPr>
          <w:sz w:val="24"/>
          <w:szCs w:val="24"/>
        </w:rPr>
        <w:fldChar w:fldCharType="begin"/>
      </w:r>
      <w:r w:rsidR="000E2BFA">
        <w:rPr>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Pr>
          <w:sz w:val="24"/>
          <w:szCs w:val="24"/>
        </w:rPr>
        <w:fldChar w:fldCharType="separate"/>
      </w:r>
      <w:r w:rsidR="000E2BFA">
        <w:rPr>
          <w:noProof/>
          <w:sz w:val="24"/>
          <w:szCs w:val="24"/>
        </w:rPr>
        <w:t>[</w:t>
      </w:r>
      <w:hyperlink w:anchor="_ENREF_8" w:tooltip="Canadian Food Inspection Agency, 2008 #1309" w:history="1">
        <w:r w:rsidR="002223E5">
          <w:rPr>
            <w:noProof/>
            <w:sz w:val="24"/>
            <w:szCs w:val="24"/>
          </w:rPr>
          <w:t>8</w:t>
        </w:r>
      </w:hyperlink>
      <w:r w:rsidR="000E2BFA">
        <w:rPr>
          <w:noProof/>
          <w:sz w:val="24"/>
          <w:szCs w:val="24"/>
        </w:rPr>
        <w:t>]</w:t>
      </w:r>
      <w:r>
        <w:rPr>
          <w:sz w:val="24"/>
          <w:szCs w:val="24"/>
        </w:rPr>
        <w:fldChar w:fldCharType="end"/>
      </w:r>
      <w:r>
        <w:rPr>
          <w:sz w:val="24"/>
          <w:szCs w:val="24"/>
        </w:rPr>
        <w:t>.</w:t>
      </w:r>
    </w:p>
    <w:p w:rsidR="007469B8" w:rsidRDefault="007469B8" w:rsidP="00F21833">
      <w:pPr>
        <w:spacing w:line="240" w:lineRule="auto"/>
        <w:rPr>
          <w:sz w:val="24"/>
          <w:szCs w:val="24"/>
        </w:rPr>
      </w:pPr>
      <w:r w:rsidRPr="001C63A0">
        <w:rPr>
          <w:b/>
          <w:sz w:val="24"/>
          <w:szCs w:val="24"/>
          <w:lang w:val="en-US"/>
        </w:rPr>
        <w:t>Containment facility:</w:t>
      </w:r>
      <w:r w:rsidRPr="004849F8">
        <w:rPr>
          <w:sz w:val="24"/>
          <w:szCs w:val="24"/>
        </w:rPr>
        <w:t xml:space="preserve"> A structure whose purpose is to prevent escape of material held within it, into the environment</w:t>
      </w:r>
      <w:r>
        <w:rPr>
          <w:sz w:val="24"/>
          <w:szCs w:val="24"/>
        </w:rPr>
        <w:t xml:space="preserve"> </w:t>
      </w:r>
      <w:r>
        <w:rPr>
          <w:sz w:val="24"/>
          <w:szCs w:val="24"/>
        </w:rPr>
        <w:fldChar w:fldCharType="begin"/>
      </w:r>
      <w:r w:rsidR="000E2BFA">
        <w:rPr>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Pr>
          <w:sz w:val="24"/>
          <w:szCs w:val="24"/>
        </w:rPr>
        <w:fldChar w:fldCharType="separate"/>
      </w:r>
      <w:r w:rsidR="000E2BFA">
        <w:rPr>
          <w:noProof/>
          <w:sz w:val="24"/>
          <w:szCs w:val="24"/>
        </w:rPr>
        <w:t>[</w:t>
      </w:r>
      <w:hyperlink w:anchor="_ENREF_8" w:tooltip="Canadian Food Inspection Agency, 2008 #1309" w:history="1">
        <w:r w:rsidR="002223E5">
          <w:rPr>
            <w:noProof/>
            <w:sz w:val="24"/>
            <w:szCs w:val="24"/>
          </w:rPr>
          <w:t>8</w:t>
        </w:r>
      </w:hyperlink>
      <w:r w:rsidR="000E2BFA">
        <w:rPr>
          <w:noProof/>
          <w:sz w:val="24"/>
          <w:szCs w:val="24"/>
        </w:rPr>
        <w:t>]</w:t>
      </w:r>
      <w:r>
        <w:rPr>
          <w:sz w:val="24"/>
          <w:szCs w:val="24"/>
        </w:rPr>
        <w:fldChar w:fldCharType="end"/>
      </w:r>
      <w:r>
        <w:rPr>
          <w:sz w:val="24"/>
          <w:szCs w:val="24"/>
        </w:rPr>
        <w:t>.</w:t>
      </w:r>
    </w:p>
    <w:p w:rsidR="007469B8" w:rsidRDefault="007469B8" w:rsidP="00A916AC">
      <w:pPr>
        <w:spacing w:line="240" w:lineRule="auto"/>
        <w:rPr>
          <w:sz w:val="24"/>
          <w:szCs w:val="24"/>
        </w:rPr>
      </w:pPr>
      <w:r w:rsidRPr="001C63A0">
        <w:rPr>
          <w:b/>
          <w:sz w:val="24"/>
          <w:szCs w:val="24"/>
          <w:lang w:val="en-US"/>
        </w:rPr>
        <w:t>Domestic Substances List (DSL):</w:t>
      </w:r>
      <w:r w:rsidRPr="00F17FA8">
        <w:rPr>
          <w:sz w:val="24"/>
          <w:szCs w:val="24"/>
        </w:rPr>
        <w:t xml:space="preserve"> An inventory of substances manufactured in, imported into or used in Canada between January 1, 1984 and December 31, 1986. The DSL is the sole standard against which a substance is judged to be "new" to Canada. With few exceptions, all substances not on this list are considered new and must be notified prior to importation or manufacture in order that they can be assessed to determine if they are toxic or could become toxic to the environment or human health.</w:t>
      </w:r>
      <w:r>
        <w:rPr>
          <w:rStyle w:val="FootnoteReference"/>
          <w:sz w:val="24"/>
          <w:szCs w:val="24"/>
        </w:rPr>
        <w:footnoteReference w:id="4"/>
      </w:r>
    </w:p>
    <w:p w:rsidR="007469B8" w:rsidRDefault="007469B8" w:rsidP="00C96AFC">
      <w:pPr>
        <w:spacing w:line="240" w:lineRule="auto"/>
        <w:rPr>
          <w:sz w:val="24"/>
          <w:szCs w:val="24"/>
        </w:rPr>
      </w:pPr>
      <w:r w:rsidRPr="00540A69">
        <w:rPr>
          <w:b/>
          <w:sz w:val="24"/>
          <w:szCs w:val="24"/>
        </w:rPr>
        <w:t>Indigenous:</w:t>
      </w:r>
      <w:r>
        <w:rPr>
          <w:sz w:val="24"/>
          <w:szCs w:val="24"/>
        </w:rPr>
        <w:t xml:space="preserve"> A microbial isolate that is isolated from, or known to occur in, the </w:t>
      </w:r>
      <w:proofErr w:type="spellStart"/>
      <w:r>
        <w:rPr>
          <w:sz w:val="24"/>
          <w:szCs w:val="24"/>
        </w:rPr>
        <w:t>ecozone</w:t>
      </w:r>
      <w:proofErr w:type="spellEnd"/>
      <w:r>
        <w:rPr>
          <w:sz w:val="24"/>
          <w:szCs w:val="24"/>
        </w:rPr>
        <w:t xml:space="preserve">(s) of intended use </w:t>
      </w:r>
      <w:r>
        <w:rPr>
          <w:sz w:val="24"/>
          <w:szCs w:val="24"/>
        </w:rPr>
        <w:fldChar w:fldCharType="begin"/>
      </w:r>
      <w:r w:rsidR="000E2BFA">
        <w:rPr>
          <w:sz w:val="24"/>
          <w:szCs w:val="24"/>
        </w:rPr>
        <w:instrText xml:space="preserve"> ADDIN EN.CITE &lt;EndNote&gt;&lt;Cite&gt;&lt;Author&gt;PMRA&lt;/Author&gt;&lt;Year&gt;2001&lt;/Year&gt;&lt;RecNum&gt;1334&lt;/RecNum&gt;&lt;DisplayText&gt;[9]&lt;/DisplayText&gt;&lt;record&gt;&lt;rec-number&gt;1334&lt;/rec-number&gt;&lt;foreign-keys&gt;&lt;key app="EN" db-id="arwppdvwa5a2xue5ttppdv2o25d0evt5rrav"&gt;1334&lt;/key&gt;&lt;/foreign-keys&gt;&lt;ref-type name="Government Document"&gt;46&lt;/ref-type&gt;&lt;contributors&gt;&lt;authors&gt;&lt;author&gt;PMRA,&lt;/author&gt;&lt;/authors&gt;&lt;secondary-authors&gt;&lt;author&gt;Pest Management Regulatory Agency of Health Canada,,&lt;/author&gt;&lt;/secondary-authors&gt;&lt;/contributors&gt;&lt;titles&gt;&lt;title&gt;Guidelines for the Registration of Microbial Pest Control Agents and Products&lt;/title&gt;&lt;/titles&gt;&lt;dates&gt;&lt;year&gt;2001&lt;/year&gt;&lt;/dates&gt;&lt;pub-location&gt;Ottawa, ON&lt;/pub-location&gt;&lt;publisher&gt;Pest Management Regulatory Agency of Health Canada&lt;/publisher&gt;&lt;isbn&gt;DIR2001-02&lt;/isbn&gt;&lt;urls&gt;&lt;related-urls&gt;&lt;url&gt;http://www.hc-sc.gc.ca/cps-spc/alt_formats/pacrb-dgapcr/pdf/pubs/pest/pol-guide/dir/dir2001-02-eng.pdf&lt;/url&gt;&lt;/related-urls&gt;&lt;/urls&gt;&lt;/record&gt;&lt;/Cite&gt;&lt;/EndNote&gt;</w:instrText>
      </w:r>
      <w:r>
        <w:rPr>
          <w:sz w:val="24"/>
          <w:szCs w:val="24"/>
        </w:rPr>
        <w:fldChar w:fldCharType="separate"/>
      </w:r>
      <w:r w:rsidR="000E2BFA">
        <w:rPr>
          <w:noProof/>
          <w:sz w:val="24"/>
          <w:szCs w:val="24"/>
        </w:rPr>
        <w:t>[</w:t>
      </w:r>
      <w:hyperlink w:anchor="_ENREF_9" w:tooltip="PMRA, 2001 #1334" w:history="1">
        <w:r w:rsidR="002223E5">
          <w:rPr>
            <w:noProof/>
            <w:sz w:val="24"/>
            <w:szCs w:val="24"/>
          </w:rPr>
          <w:t>9</w:t>
        </w:r>
      </w:hyperlink>
      <w:r w:rsidR="000E2BFA">
        <w:rPr>
          <w:noProof/>
          <w:sz w:val="24"/>
          <w:szCs w:val="24"/>
        </w:rPr>
        <w:t>]</w:t>
      </w:r>
      <w:r>
        <w:rPr>
          <w:sz w:val="24"/>
          <w:szCs w:val="24"/>
        </w:rPr>
        <w:fldChar w:fldCharType="end"/>
      </w:r>
      <w:r>
        <w:rPr>
          <w:sz w:val="24"/>
          <w:szCs w:val="24"/>
        </w:rPr>
        <w:t>.</w:t>
      </w:r>
    </w:p>
    <w:p w:rsidR="007469B8" w:rsidRPr="00393813" w:rsidRDefault="007469B8" w:rsidP="00393813">
      <w:pPr>
        <w:spacing w:line="240" w:lineRule="auto"/>
        <w:rPr>
          <w:sz w:val="24"/>
          <w:szCs w:val="24"/>
        </w:rPr>
      </w:pPr>
      <w:r w:rsidRPr="001C63A0">
        <w:rPr>
          <w:b/>
          <w:sz w:val="24"/>
          <w:szCs w:val="24"/>
          <w:lang w:val="en-US"/>
        </w:rPr>
        <w:t>Manufacture:</w:t>
      </w:r>
      <w:r w:rsidRPr="00393813">
        <w:rPr>
          <w:sz w:val="24"/>
          <w:szCs w:val="24"/>
          <w:lang w:val="en-US"/>
        </w:rPr>
        <w:t xml:space="preserve"> </w:t>
      </w:r>
      <w:r w:rsidRPr="00393813">
        <w:rPr>
          <w:sz w:val="24"/>
          <w:szCs w:val="24"/>
        </w:rPr>
        <w:t>Intentional productio</w:t>
      </w:r>
      <w:r>
        <w:rPr>
          <w:sz w:val="24"/>
          <w:szCs w:val="24"/>
        </w:rPr>
        <w:t xml:space="preserve">n or culturing of the organism and </w:t>
      </w:r>
      <w:r w:rsidRPr="00393813">
        <w:rPr>
          <w:sz w:val="24"/>
          <w:szCs w:val="24"/>
        </w:rPr>
        <w:t>production of inoculum</w:t>
      </w:r>
      <w:r>
        <w:rPr>
          <w:sz w:val="24"/>
          <w:szCs w:val="24"/>
        </w:rPr>
        <w:t xml:space="preserve"> (including </w:t>
      </w:r>
      <w:r w:rsidRPr="0034561F">
        <w:rPr>
          <w:sz w:val="24"/>
          <w:szCs w:val="24"/>
        </w:rPr>
        <w:t>scaling-up, production, or culturing</w:t>
      </w:r>
      <w:r>
        <w:rPr>
          <w:sz w:val="24"/>
          <w:szCs w:val="24"/>
        </w:rPr>
        <w:t>)</w:t>
      </w:r>
      <w:r w:rsidRPr="00393813">
        <w:rPr>
          <w:sz w:val="24"/>
          <w:szCs w:val="24"/>
        </w:rPr>
        <w:t xml:space="preserve">.  </w:t>
      </w:r>
    </w:p>
    <w:p w:rsidR="007469B8" w:rsidRDefault="007469B8" w:rsidP="00393813">
      <w:pPr>
        <w:spacing w:line="240" w:lineRule="auto"/>
        <w:rPr>
          <w:sz w:val="24"/>
          <w:szCs w:val="24"/>
        </w:rPr>
      </w:pPr>
      <w:r w:rsidRPr="001C63A0">
        <w:rPr>
          <w:b/>
          <w:sz w:val="24"/>
          <w:szCs w:val="24"/>
          <w:lang w:val="en-US"/>
        </w:rPr>
        <w:t>Natural Forests:</w:t>
      </w:r>
      <w:r w:rsidRPr="00393813">
        <w:rPr>
          <w:sz w:val="24"/>
          <w:szCs w:val="24"/>
        </w:rPr>
        <w:t xml:space="preserve"> </w:t>
      </w:r>
      <w:r w:rsidRPr="00393813">
        <w:rPr>
          <w:bCs/>
          <w:sz w:val="24"/>
          <w:szCs w:val="24"/>
        </w:rPr>
        <w:t>Forests</w:t>
      </w:r>
      <w:r w:rsidRPr="00393813">
        <w:rPr>
          <w:sz w:val="24"/>
          <w:szCs w:val="24"/>
        </w:rPr>
        <w:t xml:space="preserve"> with natural species and ecological processes and for which there has been continuity of ecological processes over a very long period of time</w:t>
      </w:r>
      <w:r>
        <w:rPr>
          <w:sz w:val="24"/>
          <w:szCs w:val="24"/>
        </w:rPr>
        <w:t xml:space="preserve"> </w:t>
      </w:r>
      <w:r>
        <w:rPr>
          <w:sz w:val="24"/>
          <w:szCs w:val="24"/>
        </w:rPr>
        <w:fldChar w:fldCharType="begin"/>
      </w:r>
      <w:r w:rsidR="000E2BFA">
        <w:rPr>
          <w:sz w:val="24"/>
          <w:szCs w:val="24"/>
        </w:rPr>
        <w:instrText xml:space="preserve"> ADDIN EN.CITE &lt;EndNote&gt;&lt;Cite&gt;&lt;Author&gt;Organisation for Economic Co-operation and Development&lt;/Author&gt;&lt;Year&gt;2007&lt;/Year&gt;&lt;RecNum&gt;1310&lt;/RecNum&gt;&lt;DisplayText&gt;[10]&lt;/DisplayText&gt;&lt;record&gt;&lt;rec-number&gt;1310&lt;/rec-number&gt;&lt;foreign-keys&gt;&lt;key app="EN" db-id="arwppdvwa5a2xue5ttppdv2o25d0evt5rrav"&gt;1310&lt;/key&gt;&lt;/foreign-keys&gt;&lt;ref-type name="Web Page"&gt;12&lt;/ref-type&gt;&lt;contributors&gt;&lt;authors&gt;&lt;author&gt;Organisation for Economic Co-operation and Development,,&lt;/author&gt;&lt;/authors&gt;&lt;secondary-authors&gt;&lt;author&gt;Organisation for Economic Co-operation and Development&lt;/author&gt;&lt;/secondary-authors&gt;&lt;/contributors&gt;&lt;titles&gt;&lt;title&gt;OECD Glossary of Statistical Terms&lt;/title&gt;&lt;/titles&gt;&lt;volume&gt;2014&lt;/volume&gt;&lt;number&gt;March 3&lt;/number&gt;&lt;dates&gt;&lt;year&gt;2007&lt;/year&gt;&lt;pub-dates&gt;&lt;date&gt;Ongoing&lt;/date&gt;&lt;/pub-dates&gt;&lt;/dates&gt;&lt;publisher&gt;Organisation for Economic Co-operation and Development&lt;/publisher&gt;&lt;urls&gt;&lt;related-urls&gt;&lt;url&gt;http://stats.oecd.org/glossary/index.htm&lt;/url&gt;&lt;/related-urls&gt;&lt;/urls&gt;&lt;/record&gt;&lt;/Cite&gt;&lt;/EndNote&gt;</w:instrText>
      </w:r>
      <w:r>
        <w:rPr>
          <w:sz w:val="24"/>
          <w:szCs w:val="24"/>
        </w:rPr>
        <w:fldChar w:fldCharType="separate"/>
      </w:r>
      <w:r w:rsidR="000E2BFA">
        <w:rPr>
          <w:noProof/>
          <w:sz w:val="24"/>
          <w:szCs w:val="24"/>
        </w:rPr>
        <w:t>[</w:t>
      </w:r>
      <w:hyperlink w:anchor="_ENREF_10" w:tooltip="Organisation for Economic Co-operation and Development, 2007 #1310" w:history="1">
        <w:r w:rsidR="002223E5">
          <w:rPr>
            <w:noProof/>
            <w:sz w:val="24"/>
            <w:szCs w:val="24"/>
          </w:rPr>
          <w:t>10</w:t>
        </w:r>
      </w:hyperlink>
      <w:r w:rsidR="000E2BFA">
        <w:rPr>
          <w:noProof/>
          <w:sz w:val="24"/>
          <w:szCs w:val="24"/>
        </w:rPr>
        <w:t>]</w:t>
      </w:r>
      <w:r>
        <w:rPr>
          <w:sz w:val="24"/>
          <w:szCs w:val="24"/>
        </w:rPr>
        <w:fldChar w:fldCharType="end"/>
      </w:r>
      <w:r>
        <w:rPr>
          <w:sz w:val="24"/>
          <w:szCs w:val="24"/>
        </w:rPr>
        <w:t>.</w:t>
      </w:r>
    </w:p>
    <w:p w:rsidR="007469B8" w:rsidRDefault="007469B8" w:rsidP="00393813">
      <w:pPr>
        <w:spacing w:line="240" w:lineRule="auto"/>
        <w:rPr>
          <w:sz w:val="24"/>
          <w:szCs w:val="24"/>
        </w:rPr>
      </w:pPr>
      <w:r w:rsidRPr="001C63A0">
        <w:rPr>
          <w:b/>
          <w:sz w:val="24"/>
          <w:szCs w:val="24"/>
          <w:lang w:val="en-US"/>
        </w:rPr>
        <w:t>Plant P</w:t>
      </w:r>
      <w:r>
        <w:rPr>
          <w:b/>
          <w:sz w:val="24"/>
          <w:szCs w:val="24"/>
          <w:lang w:val="en-US"/>
        </w:rPr>
        <w:t>athogen</w:t>
      </w:r>
      <w:r w:rsidRPr="001C63A0">
        <w:rPr>
          <w:b/>
          <w:sz w:val="24"/>
          <w:szCs w:val="24"/>
          <w:lang w:val="en-US"/>
        </w:rPr>
        <w:t>:</w:t>
      </w:r>
      <w:r w:rsidRPr="00976ECB">
        <w:rPr>
          <w:sz w:val="24"/>
          <w:szCs w:val="24"/>
        </w:rPr>
        <w:t xml:space="preserve"> </w:t>
      </w:r>
      <w:r w:rsidR="000E71B3" w:rsidRPr="00976ECB">
        <w:rPr>
          <w:sz w:val="24"/>
          <w:szCs w:val="24"/>
        </w:rPr>
        <w:t>Any</w:t>
      </w:r>
      <w:r w:rsidR="000E71B3">
        <w:rPr>
          <w:sz w:val="24"/>
          <w:szCs w:val="24"/>
        </w:rPr>
        <w:t xml:space="preserve"> organism</w:t>
      </w:r>
      <w:r w:rsidR="000E71B3" w:rsidRPr="00976ECB">
        <w:rPr>
          <w:sz w:val="24"/>
          <w:szCs w:val="24"/>
        </w:rPr>
        <w:t xml:space="preserve"> </w:t>
      </w:r>
      <w:r w:rsidRPr="00976ECB">
        <w:rPr>
          <w:sz w:val="24"/>
          <w:szCs w:val="24"/>
        </w:rPr>
        <w:t xml:space="preserve">that is injurious or potentially injurious, whether directly or indirectly, to plants or to products or by-products of plants, and includes any </w:t>
      </w:r>
      <w:r>
        <w:rPr>
          <w:sz w:val="24"/>
          <w:szCs w:val="24"/>
        </w:rPr>
        <w:t>organism</w:t>
      </w:r>
      <w:r w:rsidRPr="00976ECB">
        <w:rPr>
          <w:sz w:val="24"/>
          <w:szCs w:val="24"/>
        </w:rPr>
        <w:t xml:space="preserve"> prescribed as a pest</w:t>
      </w:r>
      <w:r>
        <w:rPr>
          <w:sz w:val="24"/>
          <w:szCs w:val="24"/>
        </w:rPr>
        <w:t xml:space="preserve"> </w:t>
      </w:r>
      <w:r>
        <w:rPr>
          <w:sz w:val="24"/>
          <w:szCs w:val="24"/>
        </w:rPr>
        <w:fldChar w:fldCharType="begin"/>
      </w:r>
      <w:r w:rsidR="003716DB">
        <w:rPr>
          <w:sz w:val="24"/>
          <w:szCs w:val="24"/>
        </w:rPr>
        <w:instrText xml:space="preserve"> ADDIN EN.CITE &lt;EndNote&gt;&lt;Cite&gt;&lt;Author&gt;Government of Canada&lt;/Author&gt;&lt;Year&gt;1990&lt;/Year&gt;&lt;RecNum&gt;1305&lt;/RecNum&gt;&lt;DisplayText&gt;[5]&lt;/DisplayText&gt;&lt;record&gt;&lt;rec-number&gt;1305&lt;/rec-number&gt;&lt;foreign-keys&gt;&lt;key app="EN" db-id="arwppdvwa5a2xue5ttppdv2o25d0evt5rrav"&gt;1305&lt;/key&gt;&lt;/foreign-keys&gt;&lt;ref-type name="Statute"&gt;31&lt;/ref-type&gt;&lt;contributors&gt;&lt;authors&gt;&lt;author&gt;Government of Canada,,&lt;/author&gt;&lt;/authors&gt;&lt;/contributors&gt;&lt;titles&gt;&lt;title&gt;Plant Protection Act (S.C. 1990, c. 22)&lt;/title&gt;&lt;secondary-title&gt;S.C. 1990, c. 22&lt;/secondary-title&gt;&lt;/titles&gt;&lt;dates&gt;&lt;year&gt;1990&lt;/year&gt;&lt;/dates&gt;&lt;pub-location&gt;Canada&lt;/pub-location&gt;&lt;urls&gt;&lt;related-urls&gt;&lt;url&gt;http://laws-lois.justice.gc.ca/eng/acts/P-14.8/&lt;/url&gt;&lt;/related-urls&gt;&lt;/urls&gt;&lt;/record&gt;&lt;/Cite&gt;&lt;/EndNote&gt;</w:instrText>
      </w:r>
      <w:r>
        <w:rPr>
          <w:sz w:val="24"/>
          <w:szCs w:val="24"/>
        </w:rPr>
        <w:fldChar w:fldCharType="separate"/>
      </w:r>
      <w:r w:rsidR="003716DB">
        <w:rPr>
          <w:noProof/>
          <w:sz w:val="24"/>
          <w:szCs w:val="24"/>
        </w:rPr>
        <w:t>[</w:t>
      </w:r>
      <w:hyperlink w:anchor="_ENREF_5" w:tooltip="Government of Canada, 1990 #1305" w:history="1">
        <w:r w:rsidR="002223E5">
          <w:rPr>
            <w:noProof/>
            <w:sz w:val="24"/>
            <w:szCs w:val="24"/>
          </w:rPr>
          <w:t>5</w:t>
        </w:r>
      </w:hyperlink>
      <w:r w:rsidR="003716DB">
        <w:rPr>
          <w:noProof/>
          <w:sz w:val="24"/>
          <w:szCs w:val="24"/>
        </w:rPr>
        <w:t>]</w:t>
      </w:r>
      <w:r>
        <w:rPr>
          <w:sz w:val="24"/>
          <w:szCs w:val="24"/>
        </w:rPr>
        <w:fldChar w:fldCharType="end"/>
      </w:r>
      <w:r>
        <w:rPr>
          <w:sz w:val="24"/>
          <w:szCs w:val="24"/>
        </w:rPr>
        <w:t xml:space="preserve">. </w:t>
      </w:r>
      <w:r w:rsidRPr="00393813">
        <w:rPr>
          <w:sz w:val="24"/>
          <w:szCs w:val="24"/>
        </w:rPr>
        <w:t>This includes any species, strain or biotype of pathogenic agent</w:t>
      </w:r>
      <w:r w:rsidR="000E71B3">
        <w:rPr>
          <w:sz w:val="24"/>
          <w:szCs w:val="24"/>
        </w:rPr>
        <w:t xml:space="preserve"> that is</w:t>
      </w:r>
      <w:r w:rsidRPr="00393813">
        <w:rPr>
          <w:sz w:val="24"/>
          <w:szCs w:val="24"/>
        </w:rPr>
        <w:t xml:space="preserve"> injurious to plants or plant products</w:t>
      </w:r>
      <w:r>
        <w:rPr>
          <w:sz w:val="24"/>
          <w:szCs w:val="24"/>
        </w:rPr>
        <w:t xml:space="preserve"> </w:t>
      </w:r>
      <w:r>
        <w:rPr>
          <w:sz w:val="24"/>
          <w:szCs w:val="24"/>
        </w:rPr>
        <w:fldChar w:fldCharType="begin"/>
      </w:r>
      <w:r w:rsidR="0030719B">
        <w:rPr>
          <w:sz w:val="24"/>
          <w:szCs w:val="24"/>
        </w:rPr>
        <w:instrText xml:space="preserve"> ADDIN EN.CITE &lt;EndNote&gt;&lt;Cite&gt;&lt;Author&gt;International Plant Protection Convention&lt;/Author&gt;&lt;Year&gt;2005&lt;/Year&gt;&lt;RecNum&gt;1311&lt;/RecNum&gt;&lt;DisplayText&gt;[11]&lt;/DisplayText&gt;&lt;record&gt;&lt;rec-number&gt;1311&lt;/rec-number&gt;&lt;foreign-keys&gt;&lt;key app="EN" db-id="arwppdvwa5a2xue5ttppdv2o25d0evt5rrav"&gt;1311&lt;/key&gt;&lt;/foreign-keys&gt;&lt;ref-type name="Report"&gt;27&lt;/ref-type&gt;&lt;contributors&gt;&lt;authors&gt;&lt;author&gt;International Plant Protection Convention,,&lt;/author&gt;&lt;/authors&gt;&lt;secondary-authors&gt;&lt;author&gt;Food and Agriculture Organization of the United Nations,,&lt;/author&gt;&lt;/secondary-authors&gt;&lt;tertiary-authors&gt;&lt;author&gt;Food and Agriculture Organization of the United Nations&lt;/author&gt;&lt;/tertiary-authors&gt;&lt;/contributors&gt;&lt;titles&gt;&lt;title&gt;International Standards for Phytosanitary Measures 1 to 24 (2005 Edition)&lt;/title&gt;&lt;secondary-title&gt;International Standards for Phytosanitary Measures&lt;/secondary-title&gt;&lt;/titles&gt;&lt;dates&gt;&lt;year&gt;2005&lt;/year&gt;&lt;/dates&gt;&lt;pub-location&gt;Rome, Italy&lt;/pub-location&gt;&lt;publisher&gt;Food and Agriculture Organization of the United Nations&lt;/publisher&gt;&lt;urls&gt;&lt;related-urls&gt;&lt;url&gt;http://www.fao.org/docrep/009/a0450e/a0450e00.htm&lt;/url&gt;&lt;/related-urls&gt;&lt;/urls&gt;&lt;/record&gt;&lt;/Cite&gt;&lt;/EndNote&gt;</w:instrText>
      </w:r>
      <w:r>
        <w:rPr>
          <w:sz w:val="24"/>
          <w:szCs w:val="24"/>
        </w:rPr>
        <w:fldChar w:fldCharType="separate"/>
      </w:r>
      <w:r w:rsidR="000E2BFA">
        <w:rPr>
          <w:noProof/>
          <w:sz w:val="24"/>
          <w:szCs w:val="24"/>
        </w:rPr>
        <w:t>[</w:t>
      </w:r>
      <w:hyperlink w:anchor="_ENREF_11" w:tooltip="International Plant Protection Convention, 2005 #1311" w:history="1">
        <w:r w:rsidR="002223E5">
          <w:rPr>
            <w:noProof/>
            <w:sz w:val="24"/>
            <w:szCs w:val="24"/>
          </w:rPr>
          <w:t>11</w:t>
        </w:r>
      </w:hyperlink>
      <w:r w:rsidR="000E2BFA">
        <w:rPr>
          <w:noProof/>
          <w:sz w:val="24"/>
          <w:szCs w:val="24"/>
        </w:rPr>
        <w:t>]</w:t>
      </w:r>
      <w:r>
        <w:rPr>
          <w:sz w:val="24"/>
          <w:szCs w:val="24"/>
        </w:rPr>
        <w:fldChar w:fldCharType="end"/>
      </w:r>
      <w:r>
        <w:rPr>
          <w:sz w:val="24"/>
          <w:szCs w:val="24"/>
        </w:rPr>
        <w:t xml:space="preserve"> </w:t>
      </w:r>
      <w:r w:rsidRPr="00393813">
        <w:rPr>
          <w:sz w:val="24"/>
          <w:szCs w:val="24"/>
        </w:rPr>
        <w:t>including, but not limited to,  bacteria, nematodes, fungi</w:t>
      </w:r>
      <w:r w:rsidR="000E71B3">
        <w:rPr>
          <w:sz w:val="24"/>
          <w:szCs w:val="24"/>
        </w:rPr>
        <w:t xml:space="preserve"> and </w:t>
      </w:r>
      <w:proofErr w:type="spellStart"/>
      <w:r w:rsidR="000E71B3">
        <w:rPr>
          <w:sz w:val="24"/>
          <w:szCs w:val="24"/>
        </w:rPr>
        <w:t>oomycetes</w:t>
      </w:r>
      <w:proofErr w:type="spellEnd"/>
      <w:r w:rsidRPr="00393813">
        <w:rPr>
          <w:sz w:val="24"/>
          <w:szCs w:val="24"/>
        </w:rPr>
        <w:t xml:space="preserve">, </w:t>
      </w:r>
      <w:proofErr w:type="spellStart"/>
      <w:r w:rsidRPr="00393813">
        <w:rPr>
          <w:sz w:val="24"/>
          <w:szCs w:val="24"/>
        </w:rPr>
        <w:t>phytoplasmas</w:t>
      </w:r>
      <w:proofErr w:type="spellEnd"/>
      <w:r w:rsidRPr="00393813">
        <w:rPr>
          <w:sz w:val="24"/>
          <w:szCs w:val="24"/>
        </w:rPr>
        <w:t xml:space="preserve">, viruses and </w:t>
      </w:r>
      <w:proofErr w:type="spellStart"/>
      <w:r w:rsidRPr="00393813">
        <w:rPr>
          <w:sz w:val="24"/>
          <w:szCs w:val="24"/>
        </w:rPr>
        <w:t>viroids</w:t>
      </w:r>
      <w:proofErr w:type="spellEnd"/>
      <w:r>
        <w:rPr>
          <w:sz w:val="24"/>
          <w:szCs w:val="24"/>
        </w:rPr>
        <w:t xml:space="preserve"> </w:t>
      </w:r>
      <w:r>
        <w:rPr>
          <w:sz w:val="24"/>
          <w:szCs w:val="24"/>
        </w:rPr>
        <w:fldChar w:fldCharType="begin"/>
      </w:r>
      <w:r w:rsidR="000E2BFA">
        <w:rPr>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Pr>
          <w:sz w:val="24"/>
          <w:szCs w:val="24"/>
        </w:rPr>
        <w:fldChar w:fldCharType="separate"/>
      </w:r>
      <w:r w:rsidR="000E2BFA">
        <w:rPr>
          <w:noProof/>
          <w:sz w:val="24"/>
          <w:szCs w:val="24"/>
        </w:rPr>
        <w:t>[</w:t>
      </w:r>
      <w:hyperlink w:anchor="_ENREF_8" w:tooltip="Canadian Food Inspection Agency, 2008 #1309" w:history="1">
        <w:r w:rsidR="002223E5">
          <w:rPr>
            <w:noProof/>
            <w:sz w:val="24"/>
            <w:szCs w:val="24"/>
          </w:rPr>
          <w:t>8</w:t>
        </w:r>
      </w:hyperlink>
      <w:r w:rsidR="000E2BFA">
        <w:rPr>
          <w:noProof/>
          <w:sz w:val="24"/>
          <w:szCs w:val="24"/>
        </w:rPr>
        <w:t>]</w:t>
      </w:r>
      <w:r>
        <w:rPr>
          <w:sz w:val="24"/>
          <w:szCs w:val="24"/>
        </w:rPr>
        <w:fldChar w:fldCharType="end"/>
      </w:r>
      <w:r>
        <w:rPr>
          <w:sz w:val="24"/>
          <w:szCs w:val="24"/>
        </w:rPr>
        <w:t>.</w:t>
      </w:r>
    </w:p>
    <w:p w:rsidR="007469B8" w:rsidRDefault="007469B8" w:rsidP="00393813">
      <w:pPr>
        <w:spacing w:line="240" w:lineRule="auto"/>
        <w:rPr>
          <w:sz w:val="24"/>
          <w:szCs w:val="24"/>
        </w:rPr>
      </w:pPr>
      <w:r w:rsidRPr="008F2525">
        <w:rPr>
          <w:b/>
          <w:sz w:val="24"/>
          <w:szCs w:val="24"/>
        </w:rPr>
        <w:t>Researcher:</w:t>
      </w:r>
      <w:r>
        <w:rPr>
          <w:sz w:val="24"/>
          <w:szCs w:val="24"/>
        </w:rPr>
        <w:t xml:space="preserve"> For the purpose of this document </w:t>
      </w:r>
      <w:r w:rsidR="000E71B3">
        <w:rPr>
          <w:sz w:val="24"/>
          <w:szCs w:val="24"/>
        </w:rPr>
        <w:t xml:space="preserve">a researcher </w:t>
      </w:r>
      <w:r>
        <w:rPr>
          <w:sz w:val="24"/>
          <w:szCs w:val="24"/>
        </w:rPr>
        <w:t xml:space="preserve">is any </w:t>
      </w:r>
      <w:r w:rsidR="000E71B3">
        <w:rPr>
          <w:sz w:val="24"/>
          <w:szCs w:val="24"/>
        </w:rPr>
        <w:t xml:space="preserve">qualified </w:t>
      </w:r>
      <w:r>
        <w:rPr>
          <w:sz w:val="24"/>
          <w:szCs w:val="24"/>
        </w:rPr>
        <w:t>person involved in the planning or implementation of plant pathology trials. This could include program directors, research scientists,</w:t>
      </w:r>
      <w:r w:rsidR="000E71B3">
        <w:rPr>
          <w:sz w:val="24"/>
          <w:szCs w:val="24"/>
        </w:rPr>
        <w:t xml:space="preserve"> and</w:t>
      </w:r>
      <w:r>
        <w:rPr>
          <w:sz w:val="24"/>
          <w:szCs w:val="24"/>
        </w:rPr>
        <w:t xml:space="preserve"> field or greenhouse trial managers</w:t>
      </w:r>
      <w:r w:rsidR="000E71B3">
        <w:rPr>
          <w:sz w:val="24"/>
          <w:szCs w:val="24"/>
        </w:rPr>
        <w:t>.</w:t>
      </w:r>
    </w:p>
    <w:p w:rsidR="007469B8" w:rsidRDefault="007469B8" w:rsidP="003D5B8C">
      <w:pPr>
        <w:spacing w:line="240" w:lineRule="auto"/>
        <w:rPr>
          <w:sz w:val="24"/>
          <w:szCs w:val="24"/>
          <w:lang w:val="en-US"/>
        </w:rPr>
      </w:pPr>
      <w:r>
        <w:rPr>
          <w:sz w:val="24"/>
          <w:szCs w:val="24"/>
          <w:lang w:val="en-US"/>
        </w:rPr>
        <w:br w:type="page"/>
      </w:r>
    </w:p>
    <w:p w:rsidR="007469B8" w:rsidRDefault="007469B8" w:rsidP="007D7861">
      <w:pPr>
        <w:pStyle w:val="Heading1"/>
        <w:rPr>
          <w:lang w:val="en-US"/>
        </w:rPr>
      </w:pPr>
      <w:bookmarkStart w:id="5" w:name="_Toc387918941"/>
      <w:r>
        <w:rPr>
          <w:lang w:val="en-US"/>
        </w:rPr>
        <w:t>Plant Pathogen Risk Assessment</w:t>
      </w:r>
      <w:bookmarkEnd w:id="5"/>
      <w:r>
        <w:rPr>
          <w:lang w:val="en-US"/>
        </w:rPr>
        <w:t xml:space="preserve"> </w:t>
      </w:r>
    </w:p>
    <w:p w:rsidR="007469B8" w:rsidRPr="00396E07" w:rsidRDefault="007469B8" w:rsidP="00FC408D">
      <w:pPr>
        <w:rPr>
          <w:color w:val="000000"/>
          <w:sz w:val="24"/>
          <w:szCs w:val="24"/>
        </w:rPr>
      </w:pPr>
      <w:r>
        <w:rPr>
          <w:color w:val="000000"/>
          <w:sz w:val="24"/>
          <w:szCs w:val="24"/>
        </w:rPr>
        <w:t xml:space="preserve">The primary goal of a biosafety risk assessment is to identify and mitigate risk. </w:t>
      </w:r>
      <w:r w:rsidRPr="00396E07">
        <w:rPr>
          <w:color w:val="000000"/>
          <w:sz w:val="24"/>
          <w:szCs w:val="24"/>
        </w:rPr>
        <w:t xml:space="preserve">Risk is a function of hazard and exposure </w:t>
      </w:r>
      <w:r>
        <w:rPr>
          <w:color w:val="000000"/>
          <w:sz w:val="24"/>
          <w:szCs w:val="24"/>
        </w:rPr>
        <w:fldChar w:fldCharType="begin"/>
      </w:r>
      <w:r w:rsidR="000E2BFA">
        <w:rPr>
          <w:color w:val="000000"/>
          <w:sz w:val="24"/>
          <w:szCs w:val="24"/>
        </w:rPr>
        <w:instrText xml:space="preserve"> ADDIN EN.CITE &lt;EndNote&gt;&lt;Cite&gt;&lt;Author&gt;National Research Council&lt;/Author&gt;&lt;Year&gt;1983&lt;/Year&gt;&lt;RecNum&gt;368&lt;/RecNum&gt;&lt;DisplayText&gt;[12]&lt;/DisplayText&gt;&lt;record&gt;&lt;rec-number&gt;368&lt;/rec-number&gt;&lt;foreign-keys&gt;&lt;key app="EN" db-id="arwppdvwa5a2xue5ttppdv2o25d0evt5rrav"&gt;368&lt;/key&gt;&lt;/foreign-keys&gt;&lt;ref-type name="Report"&gt;27&lt;/ref-type&gt;&lt;contributors&gt;&lt;authors&gt;&lt;author&gt;National Research Council,,&lt;/author&gt;&lt;/authors&gt;&lt;secondary-authors&gt;&lt;author&gt;National Research Council&lt;/author&gt;&lt;/secondary-authors&gt;&lt;tertiary-authors&gt;&lt;author&gt;National Academy Press&lt;/author&gt;&lt;/tertiary-authors&gt;&lt;/contributors&gt;&lt;titles&gt;&lt;title&gt;Risk Assessment in the Federal Government: Managing the Process &lt;/title&gt;&lt;/titles&gt;&lt;keywords&gt;&lt;keyword&gt;SOT, Risk Assessment&lt;/keyword&gt;&lt;/keywords&gt;&lt;dates&gt;&lt;year&gt;1983&lt;/year&gt;&lt;/dates&gt;&lt;pub-location&gt;Washington, DC&lt;/pub-location&gt;&lt;publisher&gt;National Research Council&lt;/publisher&gt;&lt;urls&gt;&lt;related-urls&gt;&lt;url&gt;http://www.nap.edu/openbook.php?record_id=366&amp;amp;page=R2&lt;/url&gt;&lt;/related-urls&gt;&lt;/urls&gt;&lt;/record&gt;&lt;/Cite&gt;&lt;/EndNote&gt;</w:instrText>
      </w:r>
      <w:r>
        <w:rPr>
          <w:color w:val="000000"/>
          <w:sz w:val="24"/>
          <w:szCs w:val="24"/>
        </w:rPr>
        <w:fldChar w:fldCharType="separate"/>
      </w:r>
      <w:r w:rsidR="000E2BFA">
        <w:rPr>
          <w:noProof/>
          <w:color w:val="000000"/>
          <w:sz w:val="24"/>
          <w:szCs w:val="24"/>
        </w:rPr>
        <w:t>[</w:t>
      </w:r>
      <w:hyperlink w:anchor="_ENREF_12" w:tooltip="National Research Council, 1983 #368" w:history="1">
        <w:r w:rsidR="002223E5">
          <w:rPr>
            <w:noProof/>
            <w:color w:val="000000"/>
            <w:sz w:val="24"/>
            <w:szCs w:val="24"/>
          </w:rPr>
          <w:t>12</w:t>
        </w:r>
      </w:hyperlink>
      <w:r w:rsidR="000E2BFA">
        <w:rPr>
          <w:noProof/>
          <w:color w:val="000000"/>
          <w:sz w:val="24"/>
          <w:szCs w:val="24"/>
        </w:rPr>
        <w:t>]</w:t>
      </w:r>
      <w:r>
        <w:rPr>
          <w:color w:val="000000"/>
          <w:sz w:val="24"/>
          <w:szCs w:val="24"/>
        </w:rPr>
        <w:fldChar w:fldCharType="end"/>
      </w:r>
      <w:r w:rsidRPr="00396E07">
        <w:rPr>
          <w:color w:val="000000"/>
          <w:sz w:val="24"/>
          <w:szCs w:val="24"/>
        </w:rPr>
        <w:t xml:space="preserve">. The risk assessment process begins with an evaluation of hazard — in which the intrinsic potential adverse effects of the microorganism on organisms and processes are identified and quantified — and is followed by an exposure assessment in which the potential distribution of the microorganism is estimated. As such, hazard describes the potential for the microorganism to elicit a harmful effect; risk describes the probability of this harmful effect occurring </w:t>
      </w:r>
      <w:r>
        <w:rPr>
          <w:color w:val="000000"/>
          <w:sz w:val="24"/>
          <w:szCs w:val="24"/>
        </w:rPr>
        <w:fldChar w:fldCharType="begin"/>
      </w:r>
      <w:r w:rsidR="000E2BFA">
        <w:rPr>
          <w:color w:val="000000"/>
          <w:sz w:val="24"/>
          <w:szCs w:val="24"/>
        </w:rPr>
        <w:instrText xml:space="preserve"> ADDIN EN.CITE &lt;EndNote&gt;&lt;Cite&gt;&lt;Author&gt;Teng&lt;/Author&gt;&lt;Year&gt;1993&lt;/Year&gt;&lt;RecNum&gt;1328&lt;/RecNum&gt;&lt;Prefix&gt;reviewed in &lt;/Prefix&gt;&lt;DisplayText&gt;[reviewed in 13]&lt;/DisplayText&gt;&lt;record&gt;&lt;rec-number&gt;1328&lt;/rec-number&gt;&lt;foreign-keys&gt;&lt;key app="EN" db-id="arwppdvwa5a2xue5ttppdv2o25d0evt5rrav"&gt;1328&lt;/key&gt;&lt;/foreign-keys&gt;&lt;ref-type name="Journal Article"&gt;17&lt;/ref-type&gt;&lt;contributors&gt;&lt;authors&gt;&lt;author&gt;Teng, P.S.&lt;/author&gt;&lt;author&gt;Yang, X.B.&lt;/author&gt;&lt;/authors&gt;&lt;/contributors&gt;&lt;titles&gt;&lt;title&gt;Biological Impact and Risk Assessment in Plant Pathology&lt;/title&gt;&lt;secondary-title&gt;Annual Review of Phytopathology&lt;/secondary-title&gt;&lt;/titles&gt;&lt;periodical&gt;&lt;full-title&gt;Annual review of phytopathology&lt;/full-title&gt;&lt;/periodical&gt;&lt;pages&gt;495-521&lt;/pages&gt;&lt;volume&gt;31&lt;/volume&gt;&lt;number&gt;1&lt;/number&gt;&lt;dates&gt;&lt;year&gt;1993&lt;/year&gt;&lt;/dates&gt;&lt;urls&gt;&lt;related-urls&gt;&lt;url&gt;http://www.annualreviews.org/doi/abs/10.1146/annurev.py.31.090193.002431&lt;/url&gt;&lt;/related-urls&gt;&lt;/urls&gt;&lt;electronic-resource-num&gt;doi:10.1146/annurev.py.31.090193.002431&lt;/electronic-resource-num&gt;&lt;/record&gt;&lt;/Cite&gt;&lt;/EndNote&gt;</w:instrText>
      </w:r>
      <w:r>
        <w:rPr>
          <w:color w:val="000000"/>
          <w:sz w:val="24"/>
          <w:szCs w:val="24"/>
        </w:rPr>
        <w:fldChar w:fldCharType="separate"/>
      </w:r>
      <w:r w:rsidR="000E2BFA">
        <w:rPr>
          <w:noProof/>
          <w:color w:val="000000"/>
          <w:sz w:val="24"/>
          <w:szCs w:val="24"/>
        </w:rPr>
        <w:t>[</w:t>
      </w:r>
      <w:hyperlink w:anchor="_ENREF_13" w:tooltip="Teng, 1993 #1328" w:history="1">
        <w:r w:rsidR="002223E5">
          <w:rPr>
            <w:noProof/>
            <w:color w:val="000000"/>
            <w:sz w:val="24"/>
            <w:szCs w:val="24"/>
          </w:rPr>
          <w:t>reviewed in 13</w:t>
        </w:r>
      </w:hyperlink>
      <w:r w:rsidR="000E2BFA">
        <w:rPr>
          <w:noProof/>
          <w:color w:val="000000"/>
          <w:sz w:val="24"/>
          <w:szCs w:val="24"/>
        </w:rPr>
        <w:t>]</w:t>
      </w:r>
      <w:r>
        <w:rPr>
          <w:color w:val="000000"/>
          <w:sz w:val="24"/>
          <w:szCs w:val="24"/>
        </w:rPr>
        <w:fldChar w:fldCharType="end"/>
      </w:r>
      <w:r w:rsidRPr="00396E07">
        <w:rPr>
          <w:color w:val="000000"/>
          <w:sz w:val="24"/>
          <w:szCs w:val="24"/>
        </w:rPr>
        <w:t>.</w:t>
      </w:r>
    </w:p>
    <w:p w:rsidR="002E5CBA" w:rsidRPr="00396E07" w:rsidRDefault="002E5CBA" w:rsidP="002E5CBA">
      <w:pPr>
        <w:rPr>
          <w:color w:val="000000"/>
          <w:sz w:val="24"/>
          <w:szCs w:val="24"/>
        </w:rPr>
      </w:pPr>
      <w:r w:rsidRPr="00396E07">
        <w:rPr>
          <w:color w:val="000000"/>
          <w:sz w:val="24"/>
          <w:szCs w:val="24"/>
        </w:rPr>
        <w:t xml:space="preserve">Plant pathogens almost never infect or infest healthy </w:t>
      </w:r>
      <w:r w:rsidR="005C7840">
        <w:rPr>
          <w:color w:val="000000"/>
          <w:sz w:val="24"/>
          <w:szCs w:val="24"/>
        </w:rPr>
        <w:t>human</w:t>
      </w:r>
      <w:r w:rsidRPr="00396E07">
        <w:rPr>
          <w:color w:val="000000"/>
          <w:sz w:val="24"/>
          <w:szCs w:val="24"/>
        </w:rPr>
        <w:t>s; however, the</w:t>
      </w:r>
      <w:r>
        <w:rPr>
          <w:color w:val="000000"/>
          <w:sz w:val="24"/>
          <w:szCs w:val="24"/>
        </w:rPr>
        <w:t>y</w:t>
      </w:r>
      <w:r w:rsidRPr="00396E07">
        <w:rPr>
          <w:color w:val="000000"/>
          <w:sz w:val="24"/>
          <w:szCs w:val="24"/>
        </w:rPr>
        <w:t xml:space="preserve"> </w:t>
      </w:r>
      <w:r w:rsidR="005C7840">
        <w:rPr>
          <w:color w:val="000000"/>
          <w:sz w:val="24"/>
          <w:szCs w:val="24"/>
        </w:rPr>
        <w:t>may</w:t>
      </w:r>
      <w:r w:rsidRPr="00396E07">
        <w:rPr>
          <w:color w:val="000000"/>
          <w:sz w:val="24"/>
          <w:szCs w:val="24"/>
        </w:rPr>
        <w:t xml:space="preserve"> potentially pose a risk to agricultural production, forests, and natural environments </w:t>
      </w:r>
      <w:r w:rsidRPr="00396E07">
        <w:rPr>
          <w:color w:val="000000"/>
          <w:sz w:val="24"/>
          <w:szCs w:val="24"/>
        </w:rPr>
        <w:fldChar w:fldCharType="begin"/>
      </w:r>
      <w:r w:rsidR="000E2BFA">
        <w:rPr>
          <w:color w:val="000000"/>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sidRPr="00396E07">
        <w:rPr>
          <w:color w:val="000000"/>
          <w:sz w:val="24"/>
          <w:szCs w:val="24"/>
        </w:rPr>
        <w:fldChar w:fldCharType="separate"/>
      </w:r>
      <w:r w:rsidR="000E2BFA">
        <w:rPr>
          <w:noProof/>
          <w:color w:val="000000"/>
          <w:sz w:val="24"/>
          <w:szCs w:val="24"/>
        </w:rPr>
        <w:t>[</w:t>
      </w:r>
      <w:hyperlink w:anchor="_ENREF_8" w:tooltip="Canadian Food Inspection Agency, 2008 #1309" w:history="1">
        <w:r w:rsidR="002223E5">
          <w:rPr>
            <w:noProof/>
            <w:color w:val="000000"/>
            <w:sz w:val="24"/>
            <w:szCs w:val="24"/>
          </w:rPr>
          <w:t>8</w:t>
        </w:r>
      </w:hyperlink>
      <w:r w:rsidR="000E2BFA">
        <w:rPr>
          <w:noProof/>
          <w:color w:val="000000"/>
          <w:sz w:val="24"/>
          <w:szCs w:val="24"/>
        </w:rPr>
        <w:t>]</w:t>
      </w:r>
      <w:r w:rsidRPr="00396E07">
        <w:rPr>
          <w:color w:val="000000"/>
          <w:sz w:val="24"/>
          <w:szCs w:val="24"/>
        </w:rPr>
        <w:fldChar w:fldCharType="end"/>
      </w:r>
      <w:r w:rsidRPr="00396E07">
        <w:rPr>
          <w:color w:val="000000"/>
          <w:sz w:val="24"/>
          <w:szCs w:val="24"/>
        </w:rPr>
        <w:t xml:space="preserve">. As such, prior to the </w:t>
      </w:r>
      <w:r>
        <w:rPr>
          <w:color w:val="000000"/>
          <w:sz w:val="24"/>
          <w:szCs w:val="24"/>
        </w:rPr>
        <w:t xml:space="preserve">production or </w:t>
      </w:r>
      <w:r w:rsidRPr="00396E07">
        <w:rPr>
          <w:color w:val="000000"/>
          <w:sz w:val="24"/>
          <w:szCs w:val="24"/>
        </w:rPr>
        <w:t xml:space="preserve">release of inoculum, the researcher should conduct a risk assessment to identify potential adverse effects and, where applicable, establish risk mitigation measures. </w:t>
      </w:r>
    </w:p>
    <w:p w:rsidR="007469B8" w:rsidRDefault="007469B8" w:rsidP="00135973">
      <w:pPr>
        <w:rPr>
          <w:color w:val="000000"/>
          <w:sz w:val="24"/>
          <w:szCs w:val="24"/>
        </w:rPr>
      </w:pPr>
      <w:r>
        <w:rPr>
          <w:color w:val="000000"/>
          <w:sz w:val="24"/>
          <w:szCs w:val="24"/>
        </w:rPr>
        <w:t>Risk</w:t>
      </w:r>
      <w:r w:rsidR="009F6FF7">
        <w:rPr>
          <w:color w:val="000000"/>
          <w:sz w:val="24"/>
          <w:szCs w:val="24"/>
        </w:rPr>
        <w:t>s associated with specific</w:t>
      </w:r>
      <w:r>
        <w:rPr>
          <w:color w:val="000000"/>
          <w:sz w:val="24"/>
          <w:szCs w:val="24"/>
        </w:rPr>
        <w:t xml:space="preserve"> plant pathogens </w:t>
      </w:r>
      <w:r w:rsidR="009F6FF7">
        <w:rPr>
          <w:color w:val="000000"/>
          <w:sz w:val="24"/>
          <w:szCs w:val="24"/>
        </w:rPr>
        <w:t>differ</w:t>
      </w:r>
      <w:r>
        <w:rPr>
          <w:color w:val="000000"/>
          <w:sz w:val="24"/>
          <w:szCs w:val="24"/>
        </w:rPr>
        <w:t xml:space="preserve"> depending on the host species</w:t>
      </w:r>
      <w:r w:rsidR="00B85057">
        <w:rPr>
          <w:color w:val="000000"/>
          <w:sz w:val="24"/>
          <w:szCs w:val="24"/>
        </w:rPr>
        <w:t>,</w:t>
      </w:r>
      <w:r>
        <w:rPr>
          <w:color w:val="000000"/>
          <w:sz w:val="24"/>
          <w:szCs w:val="24"/>
        </w:rPr>
        <w:t xml:space="preserve"> the biology of the pathogen in question</w:t>
      </w:r>
      <w:r w:rsidR="00B85057">
        <w:rPr>
          <w:color w:val="000000"/>
          <w:sz w:val="24"/>
          <w:szCs w:val="24"/>
        </w:rPr>
        <w:t>, and the environment</w:t>
      </w:r>
      <w:r>
        <w:rPr>
          <w:color w:val="000000"/>
          <w:sz w:val="24"/>
          <w:szCs w:val="24"/>
        </w:rPr>
        <w:t>.</w:t>
      </w:r>
      <w:r w:rsidR="009F6FF7">
        <w:rPr>
          <w:color w:val="000000"/>
          <w:sz w:val="24"/>
          <w:szCs w:val="24"/>
        </w:rPr>
        <w:t xml:space="preserve"> Methods of reproduction and potential for dispersal (e.g., via vectors) should be considered as part of this assessment.</w:t>
      </w:r>
      <w:r>
        <w:rPr>
          <w:color w:val="000000"/>
          <w:sz w:val="24"/>
          <w:szCs w:val="24"/>
        </w:rPr>
        <w:t xml:space="preserve"> It is not practical within these guidelines to assess the risk associated with </w:t>
      </w:r>
      <w:r w:rsidR="009F6FF7">
        <w:rPr>
          <w:color w:val="000000"/>
          <w:sz w:val="24"/>
          <w:szCs w:val="24"/>
        </w:rPr>
        <w:t xml:space="preserve">each </w:t>
      </w:r>
      <w:r>
        <w:rPr>
          <w:color w:val="000000"/>
          <w:sz w:val="24"/>
          <w:szCs w:val="24"/>
        </w:rPr>
        <w:t xml:space="preserve">plant pathogens for </w:t>
      </w:r>
      <w:r w:rsidR="009F6FF7">
        <w:rPr>
          <w:color w:val="000000"/>
          <w:sz w:val="24"/>
          <w:szCs w:val="24"/>
        </w:rPr>
        <w:t xml:space="preserve">every </w:t>
      </w:r>
      <w:r>
        <w:rPr>
          <w:color w:val="000000"/>
          <w:sz w:val="24"/>
          <w:szCs w:val="24"/>
        </w:rPr>
        <w:t xml:space="preserve">host species. Rather, these guidelines provide a framework to guide the risk assessment for </w:t>
      </w:r>
      <w:r w:rsidR="009F6FF7">
        <w:rPr>
          <w:color w:val="000000"/>
          <w:sz w:val="24"/>
          <w:szCs w:val="24"/>
        </w:rPr>
        <w:t>an individual</w:t>
      </w:r>
      <w:r w:rsidR="00214ED3">
        <w:rPr>
          <w:color w:val="000000"/>
          <w:sz w:val="24"/>
          <w:szCs w:val="24"/>
        </w:rPr>
        <w:t xml:space="preserve"> </w:t>
      </w:r>
      <w:r>
        <w:rPr>
          <w:color w:val="000000"/>
          <w:sz w:val="24"/>
          <w:szCs w:val="24"/>
        </w:rPr>
        <w:t xml:space="preserve">pathogen.  </w:t>
      </w:r>
    </w:p>
    <w:p w:rsidR="007469B8" w:rsidRDefault="007469B8" w:rsidP="00F3651B">
      <w:pPr>
        <w:pStyle w:val="Heading2"/>
      </w:pPr>
      <w:bookmarkStart w:id="6" w:name="_Toc387918942"/>
      <w:r>
        <w:t>Qualifications of the Risk Assessor</w:t>
      </w:r>
      <w:bookmarkEnd w:id="6"/>
    </w:p>
    <w:p w:rsidR="007469B8" w:rsidRPr="00FA5C81" w:rsidRDefault="007469B8">
      <w:pPr>
        <w:rPr>
          <w:sz w:val="24"/>
          <w:szCs w:val="24"/>
        </w:rPr>
      </w:pPr>
      <w:r w:rsidRPr="00FA5C81">
        <w:rPr>
          <w:sz w:val="24"/>
          <w:szCs w:val="24"/>
        </w:rPr>
        <w:t>The principle investigator and his/her employees are generally the most appropriate individuals to evaluate the risk associated with their research and laboratory practices. The basic qualifications required of these individuals include:</w:t>
      </w:r>
    </w:p>
    <w:p w:rsidR="007469B8" w:rsidRPr="00FA5C81" w:rsidRDefault="007469B8" w:rsidP="00F3651B">
      <w:pPr>
        <w:pStyle w:val="ListParagraph"/>
        <w:numPr>
          <w:ilvl w:val="0"/>
          <w:numId w:val="30"/>
        </w:numPr>
        <w:rPr>
          <w:sz w:val="24"/>
          <w:szCs w:val="24"/>
        </w:rPr>
      </w:pPr>
      <w:r w:rsidRPr="00FA5C81">
        <w:rPr>
          <w:sz w:val="24"/>
          <w:szCs w:val="24"/>
        </w:rPr>
        <w:t>Knowledge of the hazards associated with the pathogen in question.</w:t>
      </w:r>
    </w:p>
    <w:p w:rsidR="007469B8" w:rsidRPr="00FA5C81" w:rsidRDefault="007469B8" w:rsidP="00F3651B">
      <w:pPr>
        <w:pStyle w:val="ListParagraph"/>
        <w:numPr>
          <w:ilvl w:val="0"/>
          <w:numId w:val="30"/>
        </w:numPr>
        <w:rPr>
          <w:sz w:val="24"/>
          <w:szCs w:val="24"/>
        </w:rPr>
      </w:pPr>
      <w:r w:rsidRPr="00FA5C81">
        <w:rPr>
          <w:sz w:val="24"/>
          <w:szCs w:val="24"/>
        </w:rPr>
        <w:t xml:space="preserve">Knowledge of the procedures and techniques employed in the study. </w:t>
      </w:r>
    </w:p>
    <w:p w:rsidR="007469B8" w:rsidRPr="00FA5C81" w:rsidRDefault="007469B8" w:rsidP="00F3651B">
      <w:pPr>
        <w:pStyle w:val="ListParagraph"/>
        <w:numPr>
          <w:ilvl w:val="0"/>
          <w:numId w:val="30"/>
        </w:numPr>
        <w:rPr>
          <w:sz w:val="24"/>
          <w:szCs w:val="24"/>
        </w:rPr>
      </w:pPr>
      <w:r w:rsidRPr="00FA5C81">
        <w:rPr>
          <w:sz w:val="24"/>
          <w:szCs w:val="24"/>
        </w:rPr>
        <w:t>An understanding of how the procedures and techniques may affect potential risk.</w:t>
      </w:r>
    </w:p>
    <w:p w:rsidR="007469B8" w:rsidRPr="00FA5C81" w:rsidRDefault="007469B8" w:rsidP="00F3651B">
      <w:pPr>
        <w:pStyle w:val="ListParagraph"/>
        <w:numPr>
          <w:ilvl w:val="0"/>
          <w:numId w:val="30"/>
        </w:numPr>
        <w:rPr>
          <w:sz w:val="24"/>
          <w:szCs w:val="24"/>
        </w:rPr>
      </w:pPr>
      <w:r w:rsidRPr="00FA5C81">
        <w:rPr>
          <w:sz w:val="24"/>
          <w:szCs w:val="24"/>
        </w:rPr>
        <w:t>Knowledge of containment requirements, national and provincial standards and guidelines.</w:t>
      </w:r>
    </w:p>
    <w:p w:rsidR="007469B8" w:rsidRPr="008B0D26" w:rsidRDefault="007469B8" w:rsidP="00135973">
      <w:pPr>
        <w:rPr>
          <w:color w:val="000000"/>
          <w:sz w:val="24"/>
          <w:szCs w:val="24"/>
        </w:rPr>
      </w:pPr>
      <w:r w:rsidRPr="00FA5C81">
        <w:rPr>
          <w:color w:val="000000"/>
          <w:sz w:val="24"/>
          <w:szCs w:val="24"/>
        </w:rPr>
        <w:t>Researchers whose area of expertise lies outside of plant pathology or who lack familiarity with the Canadian agriculture</w:t>
      </w:r>
      <w:r w:rsidR="0076200B">
        <w:rPr>
          <w:color w:val="000000"/>
          <w:sz w:val="24"/>
          <w:szCs w:val="24"/>
        </w:rPr>
        <w:t>, horticulture, or forestry</w:t>
      </w:r>
      <w:r w:rsidRPr="00FA5C81">
        <w:rPr>
          <w:color w:val="000000"/>
          <w:sz w:val="24"/>
          <w:szCs w:val="24"/>
        </w:rPr>
        <w:t xml:space="preserve"> industr</w:t>
      </w:r>
      <w:r w:rsidR="0076200B">
        <w:rPr>
          <w:color w:val="000000"/>
          <w:sz w:val="24"/>
          <w:szCs w:val="24"/>
        </w:rPr>
        <w:t>ies</w:t>
      </w:r>
      <w:r w:rsidRPr="00FA5C81">
        <w:rPr>
          <w:color w:val="000000"/>
          <w:sz w:val="24"/>
          <w:szCs w:val="24"/>
        </w:rPr>
        <w:t xml:space="preserve"> should seek advice from</w:t>
      </w:r>
      <w:r w:rsidR="0076200B">
        <w:rPr>
          <w:color w:val="000000"/>
          <w:sz w:val="24"/>
          <w:szCs w:val="24"/>
        </w:rPr>
        <w:t xml:space="preserve"> experienced plant pathologists who are members of</w:t>
      </w:r>
      <w:r w:rsidRPr="00FA5C81">
        <w:rPr>
          <w:color w:val="000000"/>
          <w:sz w:val="24"/>
          <w:szCs w:val="24"/>
        </w:rPr>
        <w:t xml:space="preserve"> the C</w:t>
      </w:r>
      <w:r w:rsidR="002F3228">
        <w:rPr>
          <w:color w:val="000000"/>
          <w:sz w:val="24"/>
          <w:szCs w:val="24"/>
        </w:rPr>
        <w:t xml:space="preserve">anadian </w:t>
      </w:r>
      <w:proofErr w:type="spellStart"/>
      <w:r w:rsidRPr="00FA5C81">
        <w:rPr>
          <w:color w:val="000000"/>
          <w:sz w:val="24"/>
          <w:szCs w:val="24"/>
        </w:rPr>
        <w:t>P</w:t>
      </w:r>
      <w:r w:rsidR="002F3228">
        <w:rPr>
          <w:color w:val="000000"/>
          <w:sz w:val="24"/>
          <w:szCs w:val="24"/>
        </w:rPr>
        <w:t>hytopathological</w:t>
      </w:r>
      <w:proofErr w:type="spellEnd"/>
      <w:r w:rsidR="002F3228">
        <w:rPr>
          <w:color w:val="000000"/>
          <w:sz w:val="24"/>
          <w:szCs w:val="24"/>
        </w:rPr>
        <w:t xml:space="preserve"> </w:t>
      </w:r>
      <w:r w:rsidRPr="00FA5C81">
        <w:rPr>
          <w:color w:val="000000"/>
          <w:sz w:val="24"/>
          <w:szCs w:val="24"/>
        </w:rPr>
        <w:t>S</w:t>
      </w:r>
      <w:r w:rsidR="002F3228">
        <w:rPr>
          <w:color w:val="000000"/>
          <w:sz w:val="24"/>
          <w:szCs w:val="24"/>
        </w:rPr>
        <w:t>ociety</w:t>
      </w:r>
      <w:r w:rsidR="0076200B">
        <w:rPr>
          <w:color w:val="000000"/>
          <w:sz w:val="24"/>
          <w:szCs w:val="24"/>
        </w:rPr>
        <w:t xml:space="preserve"> a</w:t>
      </w:r>
      <w:r w:rsidR="002F3228">
        <w:rPr>
          <w:color w:val="000000"/>
          <w:sz w:val="24"/>
          <w:szCs w:val="24"/>
        </w:rPr>
        <w:t>n</w:t>
      </w:r>
      <w:r w:rsidR="0076200B">
        <w:rPr>
          <w:color w:val="000000"/>
          <w:sz w:val="24"/>
          <w:szCs w:val="24"/>
        </w:rPr>
        <w:t>d who have worked with the pathogens and plants in question.</w:t>
      </w:r>
    </w:p>
    <w:p w:rsidR="007469B8" w:rsidRDefault="007469B8" w:rsidP="00095A60">
      <w:pPr>
        <w:pStyle w:val="Heading2"/>
      </w:pPr>
      <w:bookmarkStart w:id="7" w:name="_Toc387918943"/>
      <w:r>
        <w:t xml:space="preserve">Identification and </w:t>
      </w:r>
      <w:r w:rsidR="001F4893">
        <w:t>C</w:t>
      </w:r>
      <w:r>
        <w:t xml:space="preserve">lassification of the </w:t>
      </w:r>
      <w:r w:rsidR="001F4893">
        <w:t>Microorganism</w:t>
      </w:r>
      <w:bookmarkEnd w:id="7"/>
    </w:p>
    <w:p w:rsidR="007469B8" w:rsidRPr="00396E07" w:rsidRDefault="00602F5C" w:rsidP="002C5CE5">
      <w:pPr>
        <w:rPr>
          <w:color w:val="000000"/>
          <w:sz w:val="24"/>
          <w:szCs w:val="24"/>
        </w:rPr>
      </w:pPr>
      <w:hyperlink w:anchor="AppendixII" w:history="1">
        <w:r w:rsidR="007D2513" w:rsidRPr="007D2513">
          <w:rPr>
            <w:rStyle w:val="Hyperlink"/>
            <w:sz w:val="24"/>
            <w:szCs w:val="24"/>
          </w:rPr>
          <w:t>Appendix II</w:t>
        </w:r>
      </w:hyperlink>
      <w:r w:rsidR="007469B8" w:rsidRPr="00396E07">
        <w:rPr>
          <w:color w:val="000000"/>
          <w:sz w:val="24"/>
          <w:szCs w:val="24"/>
        </w:rPr>
        <w:t xml:space="preserve"> includes specific references to aid in the accurate identification of organisms to the level of the species and, if appropriate, to the subspecies (i.e. strain) level. It is not intended to be exhaustive and will be subject to revision at the discretion of the</w:t>
      </w:r>
      <w:r w:rsidR="001F4893">
        <w:rPr>
          <w:color w:val="000000"/>
          <w:sz w:val="24"/>
          <w:szCs w:val="24"/>
        </w:rPr>
        <w:t xml:space="preserve"> C</w:t>
      </w:r>
      <w:r w:rsidR="00776A2B">
        <w:rPr>
          <w:color w:val="000000"/>
          <w:sz w:val="24"/>
          <w:szCs w:val="24"/>
        </w:rPr>
        <w:t xml:space="preserve">anadian </w:t>
      </w:r>
      <w:proofErr w:type="spellStart"/>
      <w:r w:rsidR="001F4893">
        <w:rPr>
          <w:color w:val="000000"/>
          <w:sz w:val="24"/>
          <w:szCs w:val="24"/>
        </w:rPr>
        <w:t>P</w:t>
      </w:r>
      <w:r w:rsidR="00776A2B">
        <w:rPr>
          <w:color w:val="000000"/>
          <w:sz w:val="24"/>
          <w:szCs w:val="24"/>
        </w:rPr>
        <w:t>hytopathological</w:t>
      </w:r>
      <w:proofErr w:type="spellEnd"/>
      <w:r w:rsidR="00776A2B">
        <w:rPr>
          <w:color w:val="000000"/>
          <w:sz w:val="24"/>
          <w:szCs w:val="24"/>
        </w:rPr>
        <w:t xml:space="preserve"> </w:t>
      </w:r>
      <w:r w:rsidR="001F4893">
        <w:rPr>
          <w:color w:val="000000"/>
          <w:sz w:val="24"/>
          <w:szCs w:val="24"/>
        </w:rPr>
        <w:t>S</w:t>
      </w:r>
      <w:r w:rsidR="00776A2B">
        <w:rPr>
          <w:color w:val="000000"/>
          <w:sz w:val="24"/>
          <w:szCs w:val="24"/>
        </w:rPr>
        <w:t>ociety</w:t>
      </w:r>
      <w:r w:rsidR="007469B8" w:rsidRPr="00396E07">
        <w:rPr>
          <w:color w:val="000000"/>
          <w:sz w:val="24"/>
          <w:szCs w:val="24"/>
        </w:rPr>
        <w:t xml:space="preserve">.  </w:t>
      </w:r>
    </w:p>
    <w:p w:rsidR="007469B8" w:rsidRPr="00396E07" w:rsidRDefault="001F4893" w:rsidP="002C5CE5">
      <w:pPr>
        <w:rPr>
          <w:color w:val="000000"/>
          <w:sz w:val="24"/>
          <w:szCs w:val="24"/>
        </w:rPr>
      </w:pPr>
      <w:r>
        <w:rPr>
          <w:color w:val="000000"/>
          <w:sz w:val="24"/>
          <w:szCs w:val="24"/>
        </w:rPr>
        <w:t>The approach used in pathogen identification</w:t>
      </w:r>
      <w:r w:rsidR="007469B8" w:rsidRPr="00396E07">
        <w:rPr>
          <w:color w:val="000000"/>
          <w:sz w:val="24"/>
          <w:szCs w:val="24"/>
        </w:rPr>
        <w:t xml:space="preserve"> should be recorded and a rationale for the identification should be documented.</w:t>
      </w:r>
      <w:r w:rsidR="007469B8">
        <w:rPr>
          <w:color w:val="000000"/>
          <w:sz w:val="24"/>
          <w:szCs w:val="24"/>
        </w:rPr>
        <w:t xml:space="preserve"> If the identification was conducted by a third party laboratory, all relevant documentation pertaining to the identification should be preserved. </w:t>
      </w:r>
    </w:p>
    <w:p w:rsidR="007469B8" w:rsidRPr="00396E07" w:rsidRDefault="007469B8" w:rsidP="00453F01">
      <w:pPr>
        <w:rPr>
          <w:color w:val="000000"/>
          <w:sz w:val="24"/>
          <w:szCs w:val="24"/>
        </w:rPr>
      </w:pPr>
      <w:r w:rsidRPr="00396E07">
        <w:rPr>
          <w:color w:val="000000"/>
          <w:sz w:val="24"/>
          <w:szCs w:val="24"/>
        </w:rPr>
        <w:t xml:space="preserve">For known plant pathogens, it is important to ascertain that the microorganism is indigenous to Canada. As such, the origin of the isolate </w:t>
      </w:r>
      <w:r w:rsidR="001F4893">
        <w:rPr>
          <w:color w:val="000000"/>
          <w:sz w:val="24"/>
          <w:szCs w:val="24"/>
        </w:rPr>
        <w:t>(including the name of the host plant species and cultivar where possible), the geographic location of sample collection, and the date of sample collection and isolation</w:t>
      </w:r>
      <w:r w:rsidR="00495533">
        <w:rPr>
          <w:color w:val="000000"/>
          <w:sz w:val="24"/>
          <w:szCs w:val="24"/>
        </w:rPr>
        <w:t xml:space="preserve"> </w:t>
      </w:r>
      <w:r w:rsidR="00495533" w:rsidRPr="00396E07">
        <w:rPr>
          <w:color w:val="000000"/>
          <w:sz w:val="24"/>
          <w:szCs w:val="24"/>
        </w:rPr>
        <w:t>must be documented</w:t>
      </w:r>
      <w:r w:rsidR="001F4893">
        <w:rPr>
          <w:color w:val="000000"/>
          <w:sz w:val="24"/>
          <w:szCs w:val="24"/>
        </w:rPr>
        <w:t>. A</w:t>
      </w:r>
      <w:r w:rsidRPr="00396E07">
        <w:rPr>
          <w:color w:val="000000"/>
          <w:sz w:val="24"/>
          <w:szCs w:val="24"/>
        </w:rPr>
        <w:t xml:space="preserve"> description of the native habitat and ecological range in Canada should be</w:t>
      </w:r>
      <w:r w:rsidR="001F4893">
        <w:rPr>
          <w:color w:val="000000"/>
          <w:sz w:val="24"/>
          <w:szCs w:val="24"/>
        </w:rPr>
        <w:t xml:space="preserve"> ascertained and</w:t>
      </w:r>
      <w:r w:rsidRPr="00396E07">
        <w:rPr>
          <w:color w:val="000000"/>
          <w:sz w:val="24"/>
          <w:szCs w:val="24"/>
        </w:rPr>
        <w:t xml:space="preserve"> recorded. A specimen should be </w:t>
      </w:r>
      <w:r>
        <w:rPr>
          <w:color w:val="000000"/>
          <w:sz w:val="24"/>
          <w:szCs w:val="24"/>
        </w:rPr>
        <w:t xml:space="preserve">preserved </w:t>
      </w:r>
      <w:r w:rsidRPr="00396E07">
        <w:rPr>
          <w:color w:val="000000"/>
          <w:sz w:val="24"/>
          <w:szCs w:val="24"/>
        </w:rPr>
        <w:t>in the laboratory strain collection</w:t>
      </w:r>
      <w:r>
        <w:rPr>
          <w:color w:val="000000"/>
          <w:sz w:val="24"/>
          <w:szCs w:val="24"/>
        </w:rPr>
        <w:t xml:space="preserve"> or submitted to an independent </w:t>
      </w:r>
      <w:proofErr w:type="spellStart"/>
      <w:r>
        <w:rPr>
          <w:color w:val="000000"/>
          <w:sz w:val="24"/>
          <w:szCs w:val="24"/>
        </w:rPr>
        <w:t>bioresource</w:t>
      </w:r>
      <w:proofErr w:type="spellEnd"/>
      <w:r>
        <w:rPr>
          <w:color w:val="000000"/>
          <w:sz w:val="24"/>
          <w:szCs w:val="24"/>
        </w:rPr>
        <w:t xml:space="preserve"> centre for long-term storage.</w:t>
      </w:r>
    </w:p>
    <w:p w:rsidR="007469B8" w:rsidRPr="00396E07" w:rsidRDefault="007469B8" w:rsidP="00453F01">
      <w:pPr>
        <w:rPr>
          <w:color w:val="000000"/>
          <w:sz w:val="24"/>
          <w:szCs w:val="24"/>
        </w:rPr>
      </w:pPr>
      <w:r w:rsidRPr="00396E07">
        <w:rPr>
          <w:color w:val="000000"/>
          <w:sz w:val="24"/>
          <w:szCs w:val="24"/>
        </w:rPr>
        <w:t>Researchers should conduct, and document, an analysis of the identified microorganism and its history to ensure familiarity with factors that may affect</w:t>
      </w:r>
      <w:r w:rsidR="00DA24CF">
        <w:rPr>
          <w:color w:val="000000"/>
          <w:sz w:val="24"/>
          <w:szCs w:val="24"/>
        </w:rPr>
        <w:t xml:space="preserve"> the level of risk that it </w:t>
      </w:r>
      <w:r w:rsidR="00821D7C">
        <w:rPr>
          <w:color w:val="000000"/>
          <w:sz w:val="24"/>
          <w:szCs w:val="24"/>
        </w:rPr>
        <w:t>could</w:t>
      </w:r>
      <w:r w:rsidR="00DA24CF">
        <w:rPr>
          <w:color w:val="000000"/>
          <w:sz w:val="24"/>
          <w:szCs w:val="24"/>
        </w:rPr>
        <w:t xml:space="preserve"> represent</w:t>
      </w:r>
      <w:r w:rsidRPr="00396E07">
        <w:rPr>
          <w:color w:val="000000"/>
          <w:sz w:val="24"/>
          <w:szCs w:val="24"/>
        </w:rPr>
        <w:t xml:space="preserve">. These include documentation of </w:t>
      </w:r>
      <w:r w:rsidR="00DA24CF">
        <w:rPr>
          <w:color w:val="000000"/>
          <w:sz w:val="24"/>
          <w:szCs w:val="24"/>
        </w:rPr>
        <w:t>previous occurrence and confirmation of identification</w:t>
      </w:r>
      <w:r>
        <w:rPr>
          <w:color w:val="000000"/>
          <w:sz w:val="24"/>
          <w:szCs w:val="24"/>
        </w:rPr>
        <w:t xml:space="preserve"> in Canad</w:t>
      </w:r>
      <w:r w:rsidR="00DA24CF">
        <w:rPr>
          <w:color w:val="000000"/>
          <w:sz w:val="24"/>
          <w:szCs w:val="24"/>
        </w:rPr>
        <w:t>a</w:t>
      </w:r>
      <w:r w:rsidR="00821D7C">
        <w:rPr>
          <w:color w:val="000000"/>
          <w:sz w:val="24"/>
          <w:szCs w:val="24"/>
        </w:rPr>
        <w:t>;</w:t>
      </w:r>
      <w:r>
        <w:rPr>
          <w:color w:val="000000"/>
          <w:sz w:val="24"/>
          <w:szCs w:val="24"/>
        </w:rPr>
        <w:t xml:space="preserve"> </w:t>
      </w:r>
      <w:r w:rsidR="00DA24CF">
        <w:rPr>
          <w:color w:val="000000"/>
          <w:sz w:val="24"/>
          <w:szCs w:val="24"/>
        </w:rPr>
        <w:t>history of</w:t>
      </w:r>
      <w:r w:rsidR="00DA24CF" w:rsidRPr="00396E07">
        <w:rPr>
          <w:color w:val="000000"/>
          <w:sz w:val="24"/>
          <w:szCs w:val="24"/>
        </w:rPr>
        <w:t xml:space="preserve"> </w:t>
      </w:r>
      <w:r w:rsidRPr="00396E07">
        <w:rPr>
          <w:color w:val="000000"/>
          <w:sz w:val="24"/>
          <w:szCs w:val="24"/>
        </w:rPr>
        <w:t>safe use in agricultural field trials (if available)</w:t>
      </w:r>
      <w:r w:rsidR="00821D7C">
        <w:rPr>
          <w:color w:val="000000"/>
          <w:sz w:val="24"/>
          <w:szCs w:val="24"/>
        </w:rPr>
        <w:t>;</w:t>
      </w:r>
      <w:r w:rsidRPr="00396E07">
        <w:rPr>
          <w:color w:val="000000"/>
          <w:sz w:val="24"/>
          <w:szCs w:val="24"/>
        </w:rPr>
        <w:t xml:space="preserve"> analysis of reproductive strategy</w:t>
      </w:r>
      <w:r w:rsidR="00821D7C">
        <w:rPr>
          <w:color w:val="000000"/>
          <w:sz w:val="24"/>
          <w:szCs w:val="24"/>
        </w:rPr>
        <w:t>;</w:t>
      </w:r>
      <w:r w:rsidRPr="00396E07">
        <w:rPr>
          <w:color w:val="000000"/>
          <w:sz w:val="24"/>
          <w:szCs w:val="24"/>
        </w:rPr>
        <w:t xml:space="preserve"> host range</w:t>
      </w:r>
      <w:r w:rsidR="00821D7C">
        <w:rPr>
          <w:color w:val="000000"/>
          <w:sz w:val="24"/>
          <w:szCs w:val="24"/>
        </w:rPr>
        <w:t>;</w:t>
      </w:r>
      <w:r w:rsidRPr="00396E07">
        <w:rPr>
          <w:color w:val="000000"/>
          <w:sz w:val="24"/>
          <w:szCs w:val="24"/>
        </w:rPr>
        <w:t xml:space="preserve"> mode of transmission or spread in the environment</w:t>
      </w:r>
      <w:r w:rsidR="00821D7C">
        <w:rPr>
          <w:color w:val="000000"/>
          <w:sz w:val="24"/>
          <w:szCs w:val="24"/>
        </w:rPr>
        <w:t>;</w:t>
      </w:r>
      <w:r w:rsidRPr="00396E07">
        <w:rPr>
          <w:color w:val="000000"/>
          <w:sz w:val="24"/>
          <w:szCs w:val="24"/>
        </w:rPr>
        <w:t xml:space="preserve"> and potential persistence in the environment.</w:t>
      </w:r>
      <w:r w:rsidRPr="00396E07">
        <w:rPr>
          <w:color w:val="000000"/>
          <w:sz w:val="24"/>
          <w:szCs w:val="24"/>
          <w:vertAlign w:val="superscript"/>
        </w:rPr>
        <w:footnoteReference w:id="5"/>
      </w:r>
      <w:r w:rsidRPr="00396E07">
        <w:rPr>
          <w:color w:val="000000"/>
          <w:sz w:val="24"/>
          <w:szCs w:val="24"/>
        </w:rPr>
        <w:t xml:space="preserve"> Where available, primary research data on the microorganism in question should be used for this analysis; however, in many cases it will be necessary to rely on the published literature (including the grey literature) for this information.</w:t>
      </w:r>
      <w:r w:rsidR="0063403B">
        <w:rPr>
          <w:rStyle w:val="FootnoteReference"/>
          <w:color w:val="000000"/>
          <w:sz w:val="24"/>
          <w:szCs w:val="24"/>
        </w:rPr>
        <w:footnoteReference w:id="6"/>
      </w:r>
    </w:p>
    <w:p w:rsidR="007469B8" w:rsidRPr="00396E07" w:rsidRDefault="007469B8" w:rsidP="00453F01">
      <w:pPr>
        <w:rPr>
          <w:color w:val="000000"/>
          <w:sz w:val="24"/>
          <w:szCs w:val="24"/>
        </w:rPr>
      </w:pPr>
      <w:r w:rsidRPr="00396E07">
        <w:rPr>
          <w:color w:val="000000"/>
          <w:sz w:val="24"/>
          <w:szCs w:val="24"/>
        </w:rPr>
        <w:t xml:space="preserve">If the microorganism is identified as a species that has not previously been identified as a plant pathogen, it </w:t>
      </w:r>
      <w:r w:rsidR="008022DC">
        <w:rPr>
          <w:color w:val="000000"/>
          <w:sz w:val="24"/>
          <w:szCs w:val="24"/>
        </w:rPr>
        <w:t>may</w:t>
      </w:r>
      <w:r w:rsidR="008022DC" w:rsidRPr="00396E07">
        <w:rPr>
          <w:color w:val="000000"/>
          <w:sz w:val="24"/>
          <w:szCs w:val="24"/>
        </w:rPr>
        <w:t xml:space="preserve"> </w:t>
      </w:r>
      <w:r w:rsidRPr="00396E07">
        <w:rPr>
          <w:color w:val="000000"/>
          <w:sz w:val="24"/>
          <w:szCs w:val="24"/>
        </w:rPr>
        <w:t>require further study and the application of additional risk mitigation measures</w:t>
      </w:r>
      <w:r w:rsidR="00743B0B">
        <w:rPr>
          <w:color w:val="000000"/>
          <w:sz w:val="24"/>
          <w:szCs w:val="24"/>
        </w:rPr>
        <w:t xml:space="preserve"> may be deemed necessary</w:t>
      </w:r>
      <w:r w:rsidRPr="00396E07">
        <w:rPr>
          <w:color w:val="000000"/>
          <w:sz w:val="24"/>
          <w:szCs w:val="24"/>
        </w:rPr>
        <w:t>.</w:t>
      </w:r>
      <w:r w:rsidRPr="005F577F">
        <w:rPr>
          <w:color w:val="000000"/>
          <w:sz w:val="24"/>
          <w:szCs w:val="24"/>
          <w:vertAlign w:val="superscript"/>
        </w:rPr>
        <w:footnoteReference w:id="7"/>
      </w:r>
      <w:r w:rsidRPr="005F577F">
        <w:rPr>
          <w:color w:val="000000"/>
          <w:sz w:val="24"/>
          <w:szCs w:val="24"/>
          <w:vertAlign w:val="superscript"/>
        </w:rPr>
        <w:t xml:space="preserve"> </w:t>
      </w:r>
      <w:r w:rsidR="008022DC">
        <w:rPr>
          <w:color w:val="000000"/>
          <w:sz w:val="24"/>
          <w:szCs w:val="24"/>
        </w:rPr>
        <w:t>C</w:t>
      </w:r>
      <w:r w:rsidR="00776A2B">
        <w:rPr>
          <w:color w:val="000000"/>
          <w:sz w:val="24"/>
          <w:szCs w:val="24"/>
        </w:rPr>
        <w:t>onsiderations for research on th</w:t>
      </w:r>
      <w:r w:rsidR="008D6AA9">
        <w:rPr>
          <w:color w:val="000000"/>
          <w:sz w:val="24"/>
          <w:szCs w:val="24"/>
        </w:rPr>
        <w:t>ese</w:t>
      </w:r>
      <w:r w:rsidR="00776A2B">
        <w:rPr>
          <w:color w:val="000000"/>
          <w:sz w:val="24"/>
          <w:szCs w:val="24"/>
        </w:rPr>
        <w:t xml:space="preserve"> organism</w:t>
      </w:r>
      <w:r w:rsidR="008D6AA9">
        <w:rPr>
          <w:color w:val="000000"/>
          <w:sz w:val="24"/>
          <w:szCs w:val="24"/>
        </w:rPr>
        <w:t>s</w:t>
      </w:r>
      <w:r w:rsidR="00776A2B">
        <w:rPr>
          <w:color w:val="000000"/>
          <w:sz w:val="24"/>
          <w:szCs w:val="24"/>
        </w:rPr>
        <w:t xml:space="preserve"> are outside of the scope of this guidance document</w:t>
      </w:r>
      <w:r w:rsidR="008022DC">
        <w:rPr>
          <w:color w:val="000000"/>
          <w:sz w:val="24"/>
          <w:szCs w:val="24"/>
        </w:rPr>
        <w:t>.</w:t>
      </w:r>
    </w:p>
    <w:p w:rsidR="007469B8" w:rsidRDefault="007469B8" w:rsidP="00D53F52">
      <w:pPr>
        <w:rPr>
          <w:color w:val="000000"/>
          <w:sz w:val="24"/>
          <w:szCs w:val="24"/>
        </w:rPr>
      </w:pPr>
      <w:r w:rsidRPr="00396E07">
        <w:rPr>
          <w:color w:val="000000"/>
          <w:sz w:val="24"/>
          <w:szCs w:val="24"/>
        </w:rPr>
        <w:t xml:space="preserve">Using the information ascertained above, researchers should evaluate the potential of the microorganism to persist or spread in the environment and, where necessary, identify methods to </w:t>
      </w:r>
      <w:r w:rsidR="001236FA">
        <w:rPr>
          <w:color w:val="000000"/>
          <w:sz w:val="24"/>
          <w:szCs w:val="24"/>
        </w:rPr>
        <w:t>manage</w:t>
      </w:r>
      <w:r w:rsidR="001236FA" w:rsidRPr="00396E07">
        <w:rPr>
          <w:color w:val="000000"/>
          <w:sz w:val="24"/>
          <w:szCs w:val="24"/>
        </w:rPr>
        <w:t xml:space="preserve"> </w:t>
      </w:r>
      <w:r w:rsidRPr="00396E07">
        <w:rPr>
          <w:color w:val="000000"/>
          <w:sz w:val="24"/>
          <w:szCs w:val="24"/>
        </w:rPr>
        <w:t>this</w:t>
      </w:r>
      <w:r w:rsidR="001236FA">
        <w:rPr>
          <w:color w:val="000000"/>
          <w:sz w:val="24"/>
          <w:szCs w:val="24"/>
        </w:rPr>
        <w:t xml:space="preserve"> risk</w:t>
      </w:r>
      <w:r w:rsidRPr="00396E07">
        <w:rPr>
          <w:color w:val="000000"/>
          <w:sz w:val="24"/>
          <w:szCs w:val="24"/>
        </w:rPr>
        <w:t xml:space="preserve"> throughout the experimental process.</w:t>
      </w:r>
      <w:r w:rsidR="00D33DD3">
        <w:rPr>
          <w:color w:val="000000"/>
          <w:sz w:val="24"/>
          <w:szCs w:val="24"/>
        </w:rPr>
        <w:t xml:space="preserve"> All protocols used, and experimental results derived, should be recorded.</w:t>
      </w:r>
    </w:p>
    <w:p w:rsidR="007469B8" w:rsidRDefault="007469B8" w:rsidP="00BD694D">
      <w:pPr>
        <w:pStyle w:val="Heading1"/>
      </w:pPr>
      <w:bookmarkStart w:id="8" w:name="_Toc387918944"/>
      <w:r>
        <w:t>Inoculum Production and Handling</w:t>
      </w:r>
      <w:bookmarkEnd w:id="8"/>
    </w:p>
    <w:p w:rsidR="007469B8" w:rsidRPr="00FA5C81" w:rsidRDefault="00E559DB" w:rsidP="00BD694D">
      <w:pPr>
        <w:rPr>
          <w:sz w:val="24"/>
          <w:szCs w:val="24"/>
        </w:rPr>
      </w:pPr>
      <w:r>
        <w:rPr>
          <w:sz w:val="24"/>
          <w:szCs w:val="24"/>
        </w:rPr>
        <w:t>Protocols</w:t>
      </w:r>
      <w:r w:rsidRPr="00FA5C81">
        <w:rPr>
          <w:sz w:val="24"/>
          <w:szCs w:val="24"/>
        </w:rPr>
        <w:t xml:space="preserve"> </w:t>
      </w:r>
      <w:r w:rsidR="007469B8" w:rsidRPr="00FA5C81">
        <w:rPr>
          <w:sz w:val="24"/>
          <w:szCs w:val="24"/>
        </w:rPr>
        <w:t xml:space="preserve">for </w:t>
      </w:r>
      <w:r w:rsidR="00D46764">
        <w:rPr>
          <w:sz w:val="24"/>
          <w:szCs w:val="24"/>
        </w:rPr>
        <w:t xml:space="preserve">the </w:t>
      </w:r>
      <w:r w:rsidR="007469B8" w:rsidRPr="00FA5C81">
        <w:rPr>
          <w:sz w:val="24"/>
          <w:szCs w:val="24"/>
        </w:rPr>
        <w:t xml:space="preserve">production of </w:t>
      </w:r>
      <w:r w:rsidR="00C755BE">
        <w:rPr>
          <w:sz w:val="24"/>
          <w:szCs w:val="24"/>
        </w:rPr>
        <w:t>plant pathogen</w:t>
      </w:r>
      <w:r w:rsidR="00C755BE" w:rsidRPr="00FA5C81">
        <w:rPr>
          <w:sz w:val="24"/>
          <w:szCs w:val="24"/>
        </w:rPr>
        <w:t xml:space="preserve"> </w:t>
      </w:r>
      <w:proofErr w:type="spellStart"/>
      <w:r w:rsidR="007469B8" w:rsidRPr="00FA5C81">
        <w:rPr>
          <w:sz w:val="24"/>
          <w:szCs w:val="24"/>
        </w:rPr>
        <w:t>inocul</w:t>
      </w:r>
      <w:r w:rsidR="008D6AA9">
        <w:rPr>
          <w:sz w:val="24"/>
          <w:szCs w:val="24"/>
        </w:rPr>
        <w:t>a</w:t>
      </w:r>
      <w:proofErr w:type="spellEnd"/>
      <w:r w:rsidR="007469B8" w:rsidRPr="00FA5C81">
        <w:rPr>
          <w:sz w:val="24"/>
          <w:szCs w:val="24"/>
        </w:rPr>
        <w:t xml:space="preserve"> will vary based on the nature of the specific pathogen and the intended </w:t>
      </w:r>
      <w:r>
        <w:rPr>
          <w:sz w:val="24"/>
          <w:szCs w:val="24"/>
        </w:rPr>
        <w:t xml:space="preserve">method of </w:t>
      </w:r>
      <w:r w:rsidR="007469B8" w:rsidRPr="00FA5C81">
        <w:rPr>
          <w:sz w:val="24"/>
          <w:szCs w:val="24"/>
        </w:rPr>
        <w:t xml:space="preserve">release.  The purpose of the guidelines is not to provide specific methodologies but to ensure </w:t>
      </w:r>
      <w:r w:rsidR="008D6AA9">
        <w:rPr>
          <w:sz w:val="24"/>
          <w:szCs w:val="24"/>
        </w:rPr>
        <w:t>that production</w:t>
      </w:r>
      <w:r w:rsidR="007469B8" w:rsidRPr="00FA5C81">
        <w:rPr>
          <w:sz w:val="24"/>
          <w:szCs w:val="24"/>
        </w:rPr>
        <w:t xml:space="preserve"> activities reduce</w:t>
      </w:r>
      <w:r w:rsidR="008D6AA9">
        <w:rPr>
          <w:sz w:val="24"/>
          <w:szCs w:val="24"/>
        </w:rPr>
        <w:t xml:space="preserve"> any</w:t>
      </w:r>
      <w:r w:rsidR="007469B8" w:rsidRPr="00FA5C81">
        <w:rPr>
          <w:sz w:val="24"/>
          <w:szCs w:val="24"/>
        </w:rPr>
        <w:t xml:space="preserve"> </w:t>
      </w:r>
      <w:r w:rsidR="008D6AA9">
        <w:rPr>
          <w:sz w:val="24"/>
          <w:szCs w:val="24"/>
        </w:rPr>
        <w:t>potential</w:t>
      </w:r>
      <w:r w:rsidR="007469B8" w:rsidRPr="00FA5C81">
        <w:rPr>
          <w:sz w:val="24"/>
          <w:szCs w:val="24"/>
        </w:rPr>
        <w:t xml:space="preserve"> risks identified during the </w:t>
      </w:r>
      <w:r w:rsidR="00C755BE">
        <w:rPr>
          <w:sz w:val="24"/>
          <w:szCs w:val="24"/>
        </w:rPr>
        <w:t>risk assessment process</w:t>
      </w:r>
      <w:r w:rsidR="007469B8" w:rsidRPr="00FA5C81">
        <w:rPr>
          <w:sz w:val="24"/>
          <w:szCs w:val="24"/>
        </w:rPr>
        <w:t xml:space="preserve">.  </w:t>
      </w:r>
      <w:r w:rsidR="00CD42A3">
        <w:rPr>
          <w:sz w:val="24"/>
          <w:szCs w:val="24"/>
        </w:rPr>
        <w:t xml:space="preserve">For guidance on specific methodologies, the reader is directed to </w:t>
      </w:r>
      <w:r w:rsidR="007469B8" w:rsidRPr="00FA5C81">
        <w:rPr>
          <w:sz w:val="24"/>
          <w:szCs w:val="24"/>
        </w:rPr>
        <w:t>a number of</w:t>
      </w:r>
      <w:r w:rsidR="00CD42A3">
        <w:rPr>
          <w:sz w:val="24"/>
          <w:szCs w:val="24"/>
        </w:rPr>
        <w:t xml:space="preserve"> existing </w:t>
      </w:r>
      <w:r w:rsidR="00490F7E">
        <w:rPr>
          <w:sz w:val="24"/>
          <w:szCs w:val="24"/>
        </w:rPr>
        <w:t xml:space="preserve">publications </w:t>
      </w:r>
      <w:r w:rsidR="007469B8" w:rsidRPr="00FA5C81">
        <w:rPr>
          <w:sz w:val="24"/>
          <w:szCs w:val="24"/>
        </w:rPr>
        <w:t xml:space="preserve">on a wide variety of </w:t>
      </w:r>
      <w:r w:rsidR="00C755BE">
        <w:rPr>
          <w:sz w:val="24"/>
          <w:szCs w:val="24"/>
        </w:rPr>
        <w:t xml:space="preserve">production and inoculation </w:t>
      </w:r>
      <w:r w:rsidR="00490F7E">
        <w:rPr>
          <w:sz w:val="24"/>
          <w:szCs w:val="24"/>
        </w:rPr>
        <w:t>protocols</w:t>
      </w:r>
      <w:r w:rsidR="00C755BE">
        <w:rPr>
          <w:sz w:val="24"/>
          <w:szCs w:val="24"/>
        </w:rPr>
        <w:t xml:space="preserve"> for different plan</w:t>
      </w:r>
      <w:r w:rsidR="00CD42A3">
        <w:rPr>
          <w:sz w:val="24"/>
          <w:szCs w:val="24"/>
        </w:rPr>
        <w:t>t</w:t>
      </w:r>
      <w:r w:rsidR="00C755BE">
        <w:rPr>
          <w:sz w:val="24"/>
          <w:szCs w:val="24"/>
        </w:rPr>
        <w:t xml:space="preserve"> pathogens</w:t>
      </w:r>
      <w:r w:rsidR="0028562A">
        <w:rPr>
          <w:sz w:val="24"/>
          <w:szCs w:val="24"/>
        </w:rPr>
        <w:t xml:space="preserve"> </w:t>
      </w:r>
      <w:r w:rsidR="0028562A">
        <w:rPr>
          <w:sz w:val="24"/>
          <w:szCs w:val="24"/>
        </w:rPr>
        <w:fldChar w:fldCharType="begin">
          <w:fldData xml:space="preserve">PEVuZE5vdGU+PENpdGU+PEF1dGhvcj5EaGluZ3JhPC9BdXRob3I+PFllYXI+MTk4NTwvWWVhcj48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</w:fldData>
        </w:fldChar>
      </w:r>
      <w:r w:rsidR="002223E5">
        <w:rPr>
          <w:sz w:val="24"/>
          <w:szCs w:val="24"/>
        </w:rPr>
        <w:instrText xml:space="preserve"> ADDIN EN.CITE </w:instrText>
      </w:r>
      <w:r w:rsidR="002223E5">
        <w:rPr>
          <w:sz w:val="24"/>
          <w:szCs w:val="24"/>
        </w:rPr>
        <w:fldChar w:fldCharType="begin">
          <w:fldData xml:space="preserve">PEVuZE5vdGU+PENpdGU+PEF1dGhvcj5EaGluZ3JhPC9BdXRob3I+PFllYXI+MTk4NTwvWWVhcj48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</w:fldData>
        </w:fldChar>
      </w:r>
      <w:r w:rsidR="002223E5">
        <w:rPr>
          <w:sz w:val="24"/>
          <w:szCs w:val="24"/>
        </w:rPr>
        <w:instrText xml:space="preserve"> ADDIN EN.CITE.DATA </w:instrText>
      </w:r>
      <w:r w:rsidR="002223E5">
        <w:rPr>
          <w:sz w:val="24"/>
          <w:szCs w:val="24"/>
        </w:rPr>
      </w:r>
      <w:r w:rsidR="002223E5">
        <w:rPr>
          <w:sz w:val="24"/>
          <w:szCs w:val="24"/>
        </w:rPr>
        <w:fldChar w:fldCharType="end"/>
      </w:r>
      <w:r w:rsidR="0028562A">
        <w:rPr>
          <w:sz w:val="24"/>
          <w:szCs w:val="24"/>
        </w:rPr>
      </w:r>
      <w:r w:rsidR="0028562A">
        <w:rPr>
          <w:sz w:val="24"/>
          <w:szCs w:val="24"/>
        </w:rPr>
        <w:fldChar w:fldCharType="separate"/>
      </w:r>
      <w:r w:rsidR="002223E5">
        <w:rPr>
          <w:noProof/>
          <w:sz w:val="24"/>
          <w:szCs w:val="24"/>
        </w:rPr>
        <w:t xml:space="preserve">[for example, see </w:t>
      </w:r>
      <w:hyperlink w:anchor="_ENREF_15" w:tooltip="Dhingra, 1985 #1358" w:history="1">
        <w:r w:rsidR="002223E5">
          <w:rPr>
            <w:noProof/>
            <w:sz w:val="24"/>
            <w:szCs w:val="24"/>
          </w:rPr>
          <w:t>15</w:t>
        </w:r>
      </w:hyperlink>
      <w:r w:rsidR="002223E5">
        <w:rPr>
          <w:noProof/>
          <w:sz w:val="24"/>
          <w:szCs w:val="24"/>
        </w:rPr>
        <w:t xml:space="preserve">, </w:t>
      </w:r>
      <w:hyperlink w:anchor="_ENREF_16" w:tooltip="Waller, 2002 #1359" w:history="1">
        <w:r w:rsidR="002223E5">
          <w:rPr>
            <w:noProof/>
            <w:sz w:val="24"/>
            <w:szCs w:val="24"/>
          </w:rPr>
          <w:t>16</w:t>
        </w:r>
      </w:hyperlink>
      <w:r w:rsidR="002223E5">
        <w:rPr>
          <w:noProof/>
          <w:sz w:val="24"/>
          <w:szCs w:val="24"/>
        </w:rPr>
        <w:t xml:space="preserve">, </w:t>
      </w:r>
      <w:hyperlink w:anchor="_ENREF_17" w:tooltip="Singleton, 1992 #1360" w:history="1">
        <w:r w:rsidR="002223E5">
          <w:rPr>
            <w:noProof/>
            <w:sz w:val="24"/>
            <w:szCs w:val="24"/>
          </w:rPr>
          <w:t>17</w:t>
        </w:r>
      </w:hyperlink>
      <w:r w:rsidR="002223E5">
        <w:rPr>
          <w:noProof/>
          <w:sz w:val="24"/>
          <w:szCs w:val="24"/>
        </w:rPr>
        <w:t>]</w:t>
      </w:r>
      <w:r w:rsidR="0028562A">
        <w:rPr>
          <w:sz w:val="24"/>
          <w:szCs w:val="24"/>
        </w:rPr>
        <w:fldChar w:fldCharType="end"/>
      </w:r>
      <w:r w:rsidR="007469B8" w:rsidRPr="00FA5C81">
        <w:rPr>
          <w:sz w:val="24"/>
          <w:szCs w:val="24"/>
        </w:rPr>
        <w:t xml:space="preserve">.  </w:t>
      </w:r>
    </w:p>
    <w:p w:rsidR="007469B8" w:rsidRDefault="007469B8">
      <w:pPr>
        <w:pStyle w:val="Heading2"/>
      </w:pPr>
      <w:bookmarkStart w:id="9" w:name="_Toc387918945"/>
      <w:r>
        <w:t>Production Site</w:t>
      </w:r>
      <w:bookmarkEnd w:id="9"/>
    </w:p>
    <w:p w:rsidR="007469B8" w:rsidRDefault="007469B8" w:rsidP="001F50CA">
      <w:pPr>
        <w:rPr>
          <w:sz w:val="24"/>
          <w:szCs w:val="24"/>
        </w:rPr>
      </w:pPr>
      <w:r w:rsidRPr="00FA5C81">
        <w:rPr>
          <w:sz w:val="24"/>
          <w:szCs w:val="24"/>
        </w:rPr>
        <w:t xml:space="preserve">Facilities producing </w:t>
      </w:r>
      <w:proofErr w:type="spellStart"/>
      <w:r w:rsidRPr="00FA5C81">
        <w:rPr>
          <w:sz w:val="24"/>
          <w:szCs w:val="24"/>
        </w:rPr>
        <w:t>inocul</w:t>
      </w:r>
      <w:r w:rsidR="00EB798B">
        <w:rPr>
          <w:sz w:val="24"/>
          <w:szCs w:val="24"/>
        </w:rPr>
        <w:t>a</w:t>
      </w:r>
      <w:proofErr w:type="spellEnd"/>
      <w:r w:rsidRPr="00FA5C81">
        <w:rPr>
          <w:sz w:val="24"/>
          <w:szCs w:val="24"/>
        </w:rPr>
        <w:t xml:space="preserve"> within the scope of these guidelines do not require certification but</w:t>
      </w:r>
      <w:r w:rsidR="009B02C1">
        <w:rPr>
          <w:sz w:val="24"/>
          <w:szCs w:val="24"/>
        </w:rPr>
        <w:t>, at a minimum,</w:t>
      </w:r>
      <w:r w:rsidRPr="00FA5C81">
        <w:rPr>
          <w:sz w:val="24"/>
          <w:szCs w:val="24"/>
        </w:rPr>
        <w:t xml:space="preserve"> should be able to meet the physical requirements and operational standards of the CFIA’s PPC-1 (Plant Pest Containment Level  1)</w:t>
      </w:r>
      <w:r w:rsidR="009B02C1">
        <w:rPr>
          <w:sz w:val="24"/>
          <w:szCs w:val="24"/>
        </w:rPr>
        <w:t xml:space="preserve"> for common, low-risk organisms</w:t>
      </w:r>
      <w:r w:rsidRPr="00FA5C81">
        <w:rPr>
          <w:sz w:val="24"/>
          <w:szCs w:val="24"/>
        </w:rPr>
        <w:t xml:space="preserve"> </w:t>
      </w:r>
      <w:r w:rsidRPr="00FA5C81">
        <w:rPr>
          <w:sz w:val="24"/>
          <w:szCs w:val="24"/>
        </w:rPr>
        <w:fldChar w:fldCharType="begin"/>
      </w:r>
      <w:r w:rsidR="000E2BFA">
        <w:rPr>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sidRPr="00FA5C81">
        <w:rPr>
          <w:sz w:val="24"/>
          <w:szCs w:val="24"/>
        </w:rPr>
        <w:fldChar w:fldCharType="separate"/>
      </w:r>
      <w:r w:rsidR="000E2BFA">
        <w:rPr>
          <w:noProof/>
          <w:sz w:val="24"/>
          <w:szCs w:val="24"/>
        </w:rPr>
        <w:t>[</w:t>
      </w:r>
      <w:hyperlink w:anchor="_ENREF_8" w:tooltip="Canadian Food Inspection Agency, 2008 #1309" w:history="1">
        <w:r w:rsidR="002223E5">
          <w:rPr>
            <w:noProof/>
            <w:sz w:val="24"/>
            <w:szCs w:val="24"/>
          </w:rPr>
          <w:t>8</w:t>
        </w:r>
      </w:hyperlink>
      <w:r w:rsidR="000E2BFA">
        <w:rPr>
          <w:noProof/>
          <w:sz w:val="24"/>
          <w:szCs w:val="24"/>
        </w:rPr>
        <w:t>]</w:t>
      </w:r>
      <w:r w:rsidRPr="00FA5C81">
        <w:rPr>
          <w:sz w:val="24"/>
          <w:szCs w:val="24"/>
        </w:rPr>
        <w:fldChar w:fldCharType="end"/>
      </w:r>
      <w:r w:rsidRPr="00FA5C81">
        <w:rPr>
          <w:sz w:val="24"/>
          <w:szCs w:val="24"/>
        </w:rPr>
        <w:t>.</w:t>
      </w:r>
    </w:p>
    <w:p w:rsidR="009B02C1" w:rsidRPr="00FA5C81" w:rsidRDefault="009B02C1" w:rsidP="001F50CA">
      <w:pPr>
        <w:rPr>
          <w:sz w:val="24"/>
          <w:szCs w:val="24"/>
        </w:rPr>
      </w:pPr>
      <w:r>
        <w:rPr>
          <w:sz w:val="24"/>
          <w:szCs w:val="24"/>
        </w:rPr>
        <w:t xml:space="preserve">Plant pathogen </w:t>
      </w:r>
      <w:proofErr w:type="spellStart"/>
      <w:r>
        <w:rPr>
          <w:sz w:val="24"/>
          <w:szCs w:val="24"/>
        </w:rPr>
        <w:t>inocul</w:t>
      </w:r>
      <w:r w:rsidR="00EB798B">
        <w:rPr>
          <w:sz w:val="24"/>
          <w:szCs w:val="24"/>
        </w:rPr>
        <w:t>a</w:t>
      </w:r>
      <w:proofErr w:type="spellEnd"/>
      <w:r>
        <w:rPr>
          <w:sz w:val="24"/>
          <w:szCs w:val="24"/>
        </w:rPr>
        <w:t xml:space="preserve"> should contain only the test organism and must be free of other microbial contaminants.</w:t>
      </w:r>
    </w:p>
    <w:p w:rsidR="007469B8" w:rsidRPr="00FA5C81" w:rsidRDefault="007469B8" w:rsidP="001F50CA">
      <w:pPr>
        <w:rPr>
          <w:sz w:val="24"/>
          <w:szCs w:val="24"/>
        </w:rPr>
      </w:pPr>
      <w:r w:rsidRPr="00FA5C81">
        <w:rPr>
          <w:sz w:val="24"/>
          <w:szCs w:val="24"/>
        </w:rPr>
        <w:t>Responsibilities of the facility producing the inoculum include:</w:t>
      </w:r>
    </w:p>
    <w:p w:rsidR="007469B8" w:rsidRPr="00FA5C81" w:rsidRDefault="007469B8" w:rsidP="004A6CA0">
      <w:pPr>
        <w:pStyle w:val="ListParagraph"/>
        <w:numPr>
          <w:ilvl w:val="0"/>
          <w:numId w:val="36"/>
        </w:numPr>
        <w:rPr>
          <w:sz w:val="24"/>
          <w:szCs w:val="24"/>
        </w:rPr>
      </w:pPr>
      <w:r w:rsidRPr="00FA5C81">
        <w:rPr>
          <w:sz w:val="24"/>
          <w:szCs w:val="24"/>
        </w:rPr>
        <w:t xml:space="preserve">Accurate identification of organism </w:t>
      </w:r>
      <w:r w:rsidR="005C7DAE">
        <w:rPr>
          <w:sz w:val="24"/>
          <w:szCs w:val="24"/>
        </w:rPr>
        <w:t>(including documentation of its source)</w:t>
      </w:r>
    </w:p>
    <w:p w:rsidR="007469B8" w:rsidRPr="00FA5C81" w:rsidRDefault="007469B8" w:rsidP="004A6CA0">
      <w:pPr>
        <w:pStyle w:val="ListParagraph"/>
        <w:numPr>
          <w:ilvl w:val="0"/>
          <w:numId w:val="36"/>
        </w:numPr>
        <w:rPr>
          <w:sz w:val="24"/>
          <w:szCs w:val="24"/>
        </w:rPr>
      </w:pPr>
      <w:r w:rsidRPr="00FA5C81">
        <w:rPr>
          <w:sz w:val="24"/>
          <w:szCs w:val="24"/>
        </w:rPr>
        <w:t xml:space="preserve">Maintenance of the physical facility </w:t>
      </w:r>
    </w:p>
    <w:p w:rsidR="007469B8" w:rsidRPr="00FA5C81" w:rsidRDefault="007469B8" w:rsidP="004A6CA0">
      <w:pPr>
        <w:pStyle w:val="ListParagraph"/>
        <w:numPr>
          <w:ilvl w:val="0"/>
          <w:numId w:val="36"/>
        </w:numPr>
        <w:rPr>
          <w:sz w:val="24"/>
          <w:szCs w:val="24"/>
        </w:rPr>
      </w:pPr>
      <w:r w:rsidRPr="00FA5C81">
        <w:rPr>
          <w:sz w:val="24"/>
          <w:szCs w:val="24"/>
        </w:rPr>
        <w:t>Maintenance of and adherence to operational practices that pertain to but are not limited to:</w:t>
      </w:r>
    </w:p>
    <w:p w:rsidR="007469B8" w:rsidRPr="00FA5C81" w:rsidRDefault="007469B8" w:rsidP="004A6CA0">
      <w:pPr>
        <w:pStyle w:val="ListParagraph"/>
        <w:numPr>
          <w:ilvl w:val="1"/>
          <w:numId w:val="36"/>
        </w:numPr>
        <w:rPr>
          <w:sz w:val="24"/>
          <w:szCs w:val="24"/>
        </w:rPr>
      </w:pPr>
      <w:r w:rsidRPr="00FA5C81">
        <w:rPr>
          <w:sz w:val="24"/>
          <w:szCs w:val="24"/>
        </w:rPr>
        <w:t>Facility access</w:t>
      </w:r>
    </w:p>
    <w:p w:rsidR="007469B8" w:rsidRPr="00FA5C81" w:rsidRDefault="007469B8" w:rsidP="004A6CA0">
      <w:pPr>
        <w:pStyle w:val="ListParagraph"/>
        <w:numPr>
          <w:ilvl w:val="1"/>
          <w:numId w:val="36"/>
        </w:numPr>
        <w:rPr>
          <w:sz w:val="24"/>
          <w:szCs w:val="24"/>
        </w:rPr>
      </w:pPr>
      <w:r w:rsidRPr="00FA5C81">
        <w:rPr>
          <w:sz w:val="24"/>
          <w:szCs w:val="24"/>
        </w:rPr>
        <w:t>Documentation of pest</w:t>
      </w:r>
    </w:p>
    <w:p w:rsidR="007469B8" w:rsidRPr="00FA5C81" w:rsidRDefault="007469B8" w:rsidP="004A6CA0">
      <w:pPr>
        <w:pStyle w:val="ListParagraph"/>
        <w:numPr>
          <w:ilvl w:val="1"/>
          <w:numId w:val="36"/>
        </w:numPr>
        <w:rPr>
          <w:sz w:val="24"/>
          <w:szCs w:val="24"/>
        </w:rPr>
      </w:pPr>
      <w:r w:rsidRPr="00FA5C81">
        <w:rPr>
          <w:sz w:val="24"/>
          <w:szCs w:val="24"/>
        </w:rPr>
        <w:t>Training of personnel</w:t>
      </w:r>
    </w:p>
    <w:p w:rsidR="007469B8" w:rsidRPr="00FA5C81" w:rsidRDefault="007469B8" w:rsidP="004A6CA0">
      <w:pPr>
        <w:pStyle w:val="ListParagraph"/>
        <w:numPr>
          <w:ilvl w:val="1"/>
          <w:numId w:val="36"/>
        </w:numPr>
        <w:rPr>
          <w:sz w:val="24"/>
          <w:szCs w:val="24"/>
        </w:rPr>
      </w:pPr>
      <w:r w:rsidRPr="00FA5C81">
        <w:rPr>
          <w:sz w:val="24"/>
          <w:szCs w:val="24"/>
        </w:rPr>
        <w:t xml:space="preserve">Use of </w:t>
      </w:r>
      <w:r w:rsidR="005C7DAE">
        <w:rPr>
          <w:sz w:val="24"/>
          <w:szCs w:val="24"/>
        </w:rPr>
        <w:t xml:space="preserve">appropriate </w:t>
      </w:r>
      <w:r w:rsidRPr="00FA5C81">
        <w:rPr>
          <w:sz w:val="24"/>
          <w:szCs w:val="24"/>
        </w:rPr>
        <w:t>personal protective equipment (PPE)</w:t>
      </w:r>
      <w:r w:rsidR="005C7DAE">
        <w:rPr>
          <w:sz w:val="24"/>
          <w:szCs w:val="24"/>
        </w:rPr>
        <w:t xml:space="preserve"> for safe handling of the pathogen (minimum PPC-1 requirements)</w:t>
      </w:r>
    </w:p>
    <w:p w:rsidR="007469B8" w:rsidRPr="00FA5C81" w:rsidRDefault="007469B8" w:rsidP="004A6CA0">
      <w:pPr>
        <w:pStyle w:val="ListParagraph"/>
        <w:numPr>
          <w:ilvl w:val="1"/>
          <w:numId w:val="36"/>
        </w:numPr>
        <w:rPr>
          <w:sz w:val="24"/>
          <w:szCs w:val="24"/>
        </w:rPr>
      </w:pPr>
      <w:r w:rsidRPr="00FA5C81">
        <w:rPr>
          <w:sz w:val="24"/>
          <w:szCs w:val="24"/>
        </w:rPr>
        <w:t>Workplace sanitation</w:t>
      </w:r>
    </w:p>
    <w:p w:rsidR="007469B8" w:rsidRPr="00FA5C81" w:rsidRDefault="007469B8" w:rsidP="004A6CA0">
      <w:pPr>
        <w:pStyle w:val="ListParagraph"/>
        <w:numPr>
          <w:ilvl w:val="1"/>
          <w:numId w:val="36"/>
        </w:numPr>
        <w:rPr>
          <w:sz w:val="24"/>
          <w:szCs w:val="24"/>
        </w:rPr>
      </w:pPr>
      <w:r w:rsidRPr="00FA5C81">
        <w:rPr>
          <w:sz w:val="24"/>
          <w:szCs w:val="24"/>
        </w:rPr>
        <w:t>Inoculum storage</w:t>
      </w:r>
    </w:p>
    <w:p w:rsidR="007469B8" w:rsidRPr="00FA5C81" w:rsidRDefault="007469B8" w:rsidP="004A6CA0">
      <w:pPr>
        <w:pStyle w:val="ListParagraph"/>
        <w:numPr>
          <w:ilvl w:val="1"/>
          <w:numId w:val="36"/>
        </w:numPr>
        <w:rPr>
          <w:sz w:val="24"/>
          <w:szCs w:val="24"/>
        </w:rPr>
      </w:pPr>
      <w:r w:rsidRPr="00FA5C81">
        <w:rPr>
          <w:sz w:val="24"/>
          <w:szCs w:val="24"/>
        </w:rPr>
        <w:t>Inoculum disposal and decontamination</w:t>
      </w:r>
    </w:p>
    <w:p w:rsidR="007469B8" w:rsidRPr="00FA5C81" w:rsidRDefault="007469B8" w:rsidP="004A6CA0">
      <w:pPr>
        <w:pStyle w:val="ListParagraph"/>
        <w:numPr>
          <w:ilvl w:val="0"/>
          <w:numId w:val="36"/>
        </w:numPr>
        <w:rPr>
          <w:sz w:val="24"/>
          <w:szCs w:val="24"/>
        </w:rPr>
      </w:pPr>
      <w:r w:rsidRPr="00FA5C81">
        <w:rPr>
          <w:sz w:val="24"/>
          <w:szCs w:val="24"/>
        </w:rPr>
        <w:t>Maintenance of records of inoculum production</w:t>
      </w:r>
    </w:p>
    <w:p w:rsidR="007469B8" w:rsidRPr="00FA5C81" w:rsidRDefault="007469B8" w:rsidP="004A6CA0">
      <w:pPr>
        <w:pStyle w:val="ListParagraph"/>
        <w:numPr>
          <w:ilvl w:val="0"/>
          <w:numId w:val="36"/>
        </w:numPr>
        <w:rPr>
          <w:sz w:val="24"/>
          <w:szCs w:val="24"/>
        </w:rPr>
      </w:pPr>
      <w:r w:rsidRPr="00FA5C81">
        <w:rPr>
          <w:sz w:val="24"/>
          <w:szCs w:val="24"/>
        </w:rPr>
        <w:t xml:space="preserve">Ensuring </w:t>
      </w:r>
      <w:r w:rsidR="00D46764">
        <w:rPr>
          <w:sz w:val="24"/>
          <w:szCs w:val="24"/>
        </w:rPr>
        <w:t xml:space="preserve">that </w:t>
      </w:r>
      <w:r w:rsidRPr="00FA5C81">
        <w:rPr>
          <w:sz w:val="24"/>
          <w:szCs w:val="24"/>
        </w:rPr>
        <w:t>recipients of the inoculum, are also aware of the</w:t>
      </w:r>
      <w:r w:rsidR="005C7DAE">
        <w:rPr>
          <w:sz w:val="24"/>
          <w:szCs w:val="24"/>
        </w:rPr>
        <w:t>se</w:t>
      </w:r>
      <w:r w:rsidRPr="00FA5C81">
        <w:rPr>
          <w:sz w:val="24"/>
          <w:szCs w:val="24"/>
        </w:rPr>
        <w:t xml:space="preserve"> guidelines </w:t>
      </w:r>
    </w:p>
    <w:p w:rsidR="007469B8" w:rsidRPr="00FA5C81" w:rsidRDefault="007469B8" w:rsidP="001F50CA">
      <w:pPr>
        <w:rPr>
          <w:sz w:val="24"/>
          <w:szCs w:val="24"/>
        </w:rPr>
      </w:pPr>
      <w:r w:rsidRPr="00FA5C81">
        <w:rPr>
          <w:sz w:val="24"/>
          <w:szCs w:val="24"/>
        </w:rPr>
        <w:t xml:space="preserve">In the event that the producer of the inoculum is not the research trial manager, the trial manager should ensure that the producer is aware of these guidelines. </w:t>
      </w:r>
    </w:p>
    <w:p w:rsidR="007469B8" w:rsidRPr="00FA5C81" w:rsidRDefault="007469B8" w:rsidP="008B0D26">
      <w:pPr>
        <w:pStyle w:val="Heading2"/>
        <w:rPr>
          <w:sz w:val="24"/>
          <w:szCs w:val="24"/>
        </w:rPr>
      </w:pPr>
      <w:bookmarkStart w:id="10" w:name="_Toc387918946"/>
      <w:r>
        <w:rPr>
          <w:sz w:val="24"/>
          <w:szCs w:val="24"/>
        </w:rPr>
        <w:t>Storage and Transport</w:t>
      </w:r>
      <w:bookmarkEnd w:id="10"/>
    </w:p>
    <w:p w:rsidR="007469B8" w:rsidRDefault="007469B8" w:rsidP="008B0D26">
      <w:pPr>
        <w:rPr>
          <w:rFonts w:cs="Calibri"/>
          <w:color w:val="000000"/>
          <w:sz w:val="24"/>
          <w:szCs w:val="24"/>
        </w:rPr>
      </w:pPr>
      <w:r>
        <w:rPr>
          <w:rFonts w:cs="Calibri"/>
          <w:color w:val="000000"/>
          <w:sz w:val="24"/>
          <w:szCs w:val="24"/>
        </w:rPr>
        <w:t xml:space="preserve">All </w:t>
      </w:r>
      <w:proofErr w:type="spellStart"/>
      <w:r>
        <w:rPr>
          <w:rFonts w:cs="Calibri"/>
          <w:color w:val="000000"/>
          <w:sz w:val="24"/>
          <w:szCs w:val="24"/>
        </w:rPr>
        <w:t>inocul</w:t>
      </w:r>
      <w:r w:rsidR="00306602">
        <w:rPr>
          <w:rFonts w:cs="Calibri"/>
          <w:color w:val="000000"/>
          <w:sz w:val="24"/>
          <w:szCs w:val="24"/>
        </w:rPr>
        <w:t>a</w:t>
      </w:r>
      <w:proofErr w:type="spellEnd"/>
      <w:r>
        <w:rPr>
          <w:rFonts w:cs="Calibri"/>
          <w:color w:val="000000"/>
          <w:sz w:val="24"/>
          <w:szCs w:val="24"/>
        </w:rPr>
        <w:t xml:space="preserve"> should be stored in leak-proof containers. A primary container may be sufficient for temporary storage but it is recommended that </w:t>
      </w:r>
      <w:proofErr w:type="spellStart"/>
      <w:r>
        <w:rPr>
          <w:rFonts w:cs="Calibri"/>
          <w:color w:val="000000"/>
          <w:sz w:val="24"/>
          <w:szCs w:val="24"/>
        </w:rPr>
        <w:t>inocul</w:t>
      </w:r>
      <w:r w:rsidR="00306602">
        <w:rPr>
          <w:rFonts w:cs="Calibri"/>
          <w:color w:val="000000"/>
          <w:sz w:val="24"/>
          <w:szCs w:val="24"/>
        </w:rPr>
        <w:t>a</w:t>
      </w:r>
      <w:proofErr w:type="spellEnd"/>
      <w:r>
        <w:rPr>
          <w:rFonts w:cs="Calibri"/>
          <w:color w:val="000000"/>
          <w:sz w:val="24"/>
          <w:szCs w:val="24"/>
        </w:rPr>
        <w:t xml:space="preserve"> intended for long term storage or transport be placed inside a sealed, shatter-proof secondary container. </w:t>
      </w:r>
    </w:p>
    <w:p w:rsidR="007469B8" w:rsidRDefault="007469B8" w:rsidP="008B0D26">
      <w:pPr>
        <w:rPr>
          <w:rFonts w:cs="Calibri"/>
          <w:color w:val="000000"/>
          <w:sz w:val="24"/>
          <w:szCs w:val="24"/>
        </w:rPr>
      </w:pPr>
      <w:r>
        <w:rPr>
          <w:rFonts w:cs="Calibri"/>
          <w:color w:val="000000"/>
          <w:sz w:val="24"/>
          <w:szCs w:val="24"/>
        </w:rPr>
        <w:t>The primary container should be labelled to clearly identify the contents and storage requirements. This should include</w:t>
      </w:r>
      <w:r w:rsidR="00D46764">
        <w:rPr>
          <w:rFonts w:cs="Calibri"/>
          <w:color w:val="000000"/>
          <w:sz w:val="24"/>
          <w:szCs w:val="24"/>
        </w:rPr>
        <w:t>, at a minimum,</w:t>
      </w:r>
      <w:r>
        <w:rPr>
          <w:rFonts w:cs="Calibri"/>
          <w:color w:val="000000"/>
          <w:sz w:val="24"/>
          <w:szCs w:val="24"/>
        </w:rPr>
        <w:t xml:space="preserve"> the following information:</w:t>
      </w:r>
    </w:p>
    <w:p w:rsidR="007469B8" w:rsidRDefault="007469B8" w:rsidP="008B0D26">
      <w:pPr>
        <w:pStyle w:val="ListParagraph"/>
        <w:numPr>
          <w:ilvl w:val="0"/>
          <w:numId w:val="32"/>
        </w:numPr>
        <w:rPr>
          <w:rFonts w:cs="Calibri"/>
          <w:color w:val="000000"/>
          <w:sz w:val="24"/>
          <w:szCs w:val="24"/>
        </w:rPr>
      </w:pPr>
      <w:r>
        <w:rPr>
          <w:rFonts w:cs="Calibri"/>
          <w:color w:val="000000"/>
          <w:sz w:val="24"/>
          <w:szCs w:val="24"/>
        </w:rPr>
        <w:t xml:space="preserve">Pathogen </w:t>
      </w:r>
      <w:r w:rsidR="00DE253B">
        <w:rPr>
          <w:rFonts w:cs="Calibri"/>
          <w:color w:val="000000"/>
          <w:sz w:val="24"/>
          <w:szCs w:val="24"/>
        </w:rPr>
        <w:t xml:space="preserve">identity </w:t>
      </w:r>
    </w:p>
    <w:p w:rsidR="007469B8" w:rsidRDefault="007469B8" w:rsidP="008B0D26">
      <w:pPr>
        <w:pStyle w:val="ListParagraph"/>
        <w:numPr>
          <w:ilvl w:val="0"/>
          <w:numId w:val="32"/>
        </w:numPr>
        <w:rPr>
          <w:rFonts w:cs="Calibri"/>
          <w:color w:val="000000"/>
          <w:sz w:val="24"/>
          <w:szCs w:val="24"/>
        </w:rPr>
      </w:pPr>
      <w:r>
        <w:rPr>
          <w:rFonts w:cs="Calibri"/>
          <w:color w:val="000000"/>
          <w:sz w:val="24"/>
          <w:szCs w:val="24"/>
        </w:rPr>
        <w:t xml:space="preserve">Volume of inoculum </w:t>
      </w:r>
      <w:r w:rsidR="00D46764">
        <w:rPr>
          <w:rFonts w:cs="Calibri"/>
          <w:color w:val="000000"/>
          <w:sz w:val="24"/>
          <w:szCs w:val="24"/>
        </w:rPr>
        <w:t xml:space="preserve">and </w:t>
      </w:r>
      <w:r>
        <w:rPr>
          <w:rFonts w:cs="Calibri"/>
          <w:color w:val="000000"/>
          <w:sz w:val="24"/>
          <w:szCs w:val="24"/>
        </w:rPr>
        <w:t>concentration if applicable</w:t>
      </w:r>
    </w:p>
    <w:p w:rsidR="007469B8" w:rsidRPr="008F2525" w:rsidRDefault="007469B8" w:rsidP="00CD1CE4">
      <w:pPr>
        <w:pStyle w:val="ListParagraph"/>
        <w:numPr>
          <w:ilvl w:val="0"/>
          <w:numId w:val="32"/>
        </w:numPr>
        <w:rPr>
          <w:rFonts w:cs="Calibri"/>
          <w:color w:val="000000"/>
          <w:sz w:val="24"/>
          <w:szCs w:val="24"/>
        </w:rPr>
      </w:pPr>
      <w:r>
        <w:rPr>
          <w:rFonts w:cs="Calibri"/>
          <w:color w:val="000000"/>
          <w:sz w:val="24"/>
          <w:szCs w:val="24"/>
        </w:rPr>
        <w:t>Production date</w:t>
      </w:r>
    </w:p>
    <w:p w:rsidR="007469B8" w:rsidRDefault="007469B8" w:rsidP="008B0D26">
      <w:pPr>
        <w:rPr>
          <w:rFonts w:cs="Calibri"/>
          <w:color w:val="000000"/>
          <w:sz w:val="24"/>
          <w:szCs w:val="24"/>
        </w:rPr>
      </w:pPr>
      <w:r>
        <w:rPr>
          <w:rFonts w:cs="Calibri"/>
          <w:color w:val="000000"/>
          <w:sz w:val="24"/>
          <w:szCs w:val="24"/>
        </w:rPr>
        <w:t>The secondary container should, at a minimum, be labelled with the name and contact info</w:t>
      </w:r>
      <w:r w:rsidR="00BB065B">
        <w:rPr>
          <w:rFonts w:cs="Calibri"/>
          <w:color w:val="000000"/>
          <w:sz w:val="24"/>
          <w:szCs w:val="24"/>
        </w:rPr>
        <w:t>rmation</w:t>
      </w:r>
      <w:r>
        <w:rPr>
          <w:rFonts w:cs="Calibri"/>
          <w:color w:val="000000"/>
          <w:sz w:val="24"/>
          <w:szCs w:val="24"/>
        </w:rPr>
        <w:t xml:space="preserve"> of the individual and/or research group responsible for the inoculum. </w:t>
      </w:r>
    </w:p>
    <w:p w:rsidR="007469B8" w:rsidRDefault="007469B8" w:rsidP="008B0D26">
      <w:pPr>
        <w:rPr>
          <w:rFonts w:cs="Calibri"/>
          <w:color w:val="000000"/>
          <w:sz w:val="24"/>
          <w:szCs w:val="24"/>
        </w:rPr>
      </w:pPr>
      <w:r>
        <w:rPr>
          <w:rFonts w:cs="Calibri"/>
          <w:color w:val="000000"/>
          <w:sz w:val="24"/>
          <w:szCs w:val="24"/>
        </w:rPr>
        <w:t xml:space="preserve">Additional information, such as storage requirements and/or disposal requirements, should be added </w:t>
      </w:r>
      <w:r w:rsidR="001B43ED">
        <w:rPr>
          <w:rFonts w:cs="Calibri"/>
          <w:color w:val="000000"/>
          <w:sz w:val="24"/>
          <w:szCs w:val="24"/>
        </w:rPr>
        <w:t xml:space="preserve">where </w:t>
      </w:r>
      <w:r>
        <w:rPr>
          <w:rFonts w:cs="Calibri"/>
          <w:color w:val="000000"/>
          <w:sz w:val="24"/>
          <w:szCs w:val="24"/>
        </w:rPr>
        <w:t>appropriate. Specific storage conditions will depend on the environmental requirements of the pathogen and the length of time the inoculum is intended to be stored. Excess inoculum that is not required, or for which long term storage is not available, should be rendered nonviable and the containers either destroyed or disinfested as soon as is practical.</w:t>
      </w:r>
    </w:p>
    <w:p w:rsidR="007469B8" w:rsidRPr="00FA5C81" w:rsidRDefault="007469B8" w:rsidP="008B0D26">
      <w:pPr>
        <w:rPr>
          <w:rFonts w:cs="Calibri"/>
          <w:color w:val="000000"/>
          <w:sz w:val="24"/>
          <w:szCs w:val="24"/>
        </w:rPr>
      </w:pPr>
      <w:r w:rsidRPr="00FA5C81">
        <w:rPr>
          <w:rFonts w:cs="Calibri"/>
          <w:color w:val="000000"/>
          <w:sz w:val="24"/>
          <w:szCs w:val="24"/>
        </w:rPr>
        <w:t xml:space="preserve">This document does not define a maximum amount (volume or weight) of inoculum that can be </w:t>
      </w:r>
      <w:r w:rsidRPr="001F50CA">
        <w:rPr>
          <w:rFonts w:cs="Calibri"/>
          <w:color w:val="000000"/>
          <w:sz w:val="24"/>
          <w:szCs w:val="24"/>
        </w:rPr>
        <w:t>produced through manufacture; however, the amounts distributed to trial sites should not exce</w:t>
      </w:r>
      <w:r w:rsidRPr="00765478">
        <w:rPr>
          <w:rFonts w:cs="Calibri"/>
          <w:color w:val="000000"/>
          <w:sz w:val="24"/>
          <w:szCs w:val="24"/>
        </w:rPr>
        <w:t>ed those required for use in the trial.  Excess inoculum can be stored indefinitely if storage conditions are consistent with</w:t>
      </w:r>
      <w:r w:rsidRPr="001F50CA">
        <w:rPr>
          <w:rFonts w:cs="Calibri"/>
          <w:color w:val="000000"/>
          <w:sz w:val="24"/>
          <w:szCs w:val="24"/>
        </w:rPr>
        <w:t xml:space="preserve"> current Canadian federal guidelines </w:t>
      </w:r>
      <w:r w:rsidRPr="00FA5C81">
        <w:rPr>
          <w:rFonts w:cs="Calibri"/>
          <w:color w:val="000000"/>
          <w:sz w:val="24"/>
          <w:szCs w:val="24"/>
        </w:rPr>
        <w:fldChar w:fldCharType="begin"/>
      </w:r>
      <w:r w:rsidR="000E2BFA">
        <w:rPr>
          <w:rFonts w:cs="Calibri"/>
          <w:color w:val="000000"/>
          <w:sz w:val="24"/>
          <w:szCs w:val="24"/>
        </w:rPr>
        <w:instrText xml:space="preserve"> ADDIN EN.CITE &lt;EndNote&gt;&lt;Cite&gt;&lt;Author&gt;Canadian Food Inspection Agency&lt;/Author&gt;&lt;Year&gt;2008&lt;/Year&gt;&lt;RecNum&gt;1309&lt;/RecNum&gt;&lt;DisplayText&gt;[8, 18]&lt;/DisplayText&gt;&lt;record&gt;&lt;rec-number&gt;1309&lt;/rec-number&gt;&lt;foreign-keys&gt;&lt;key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Agency&lt;/publisher&gt;&lt;isbn&gt;A104-65/2008E&lt;/isbn&gt;&lt;urls&gt;&lt;related-urls&gt;&lt;url&gt;http://www.inspection.gc.ca/english/sci/bio/plaveg/placone.shtml#a2&lt;/url&gt;&lt;/related-urls&gt;&lt;/urls&gt;&lt;/record&gt;&lt;/Cite&gt;&lt;Cite&gt;&lt;Author&gt;Public Health Agency of Canada&lt;/Author&gt;&lt;Year&gt;2013&lt;/Year&gt;&lt;RecNum&gt;1306&lt;/RecNum&gt;&lt;record&gt;&lt;rec-number&gt;1306&lt;/rec-number&gt;&lt;foreign-keys&gt;&lt;key app="EN" db-id="arwppdvwa5a2xue5ttppdv2o25d0evt5rrav"&gt;1306&lt;/key&gt;&lt;/foreign-keys&gt;&lt;ref-type name="Government Document"&gt;46&lt;/ref-type&gt;&lt;contributors&gt;&lt;authors&gt;&lt;author&gt;Public Health Agency of Canada,,&lt;/author&gt;&lt;/authors&gt;&lt;secondary-authors&gt;&lt;author&gt;Public Health Agency of Canada&lt;/author&gt;&lt;/secondary-authors&gt;&lt;/contributors&gt;&lt;titles&gt;&lt;title&gt;Canadian Biosafety Standards and Guidelines&lt;/title&gt;&lt;/titles&gt;&lt;edition&gt;First&lt;/edition&gt;&lt;dates&gt;&lt;year&gt;2013&lt;/year&gt;&lt;/dates&gt;&lt;pub-location&gt;Ottawa, ON&lt;/pub-location&gt;&lt;publisher&gt;Public Health Agency of Canada&lt;/publisher&gt;&lt;isbn&gt;130037&lt;/isbn&gt;&lt;urls&gt;&lt;related-urls&gt;&lt;url&gt;http://canadianbiosafetystandards.collaboration.gc.ca/cbsg-nldcb/assets/pdf/cbsg-nldcb-eng.pdf&lt;/url&gt;&lt;/related-urls&gt;&lt;/urls&gt;&lt;/record&gt;&lt;/Cite&gt;&lt;/EndNote&gt;</w:instrText>
      </w:r>
      <w:r w:rsidRPr="00FA5C81">
        <w:rPr>
          <w:rFonts w:cs="Calibri"/>
          <w:color w:val="000000"/>
          <w:sz w:val="24"/>
          <w:szCs w:val="24"/>
        </w:rPr>
        <w:fldChar w:fldCharType="separate"/>
      </w:r>
      <w:r w:rsidR="000E2BFA">
        <w:rPr>
          <w:rFonts w:cs="Calibri"/>
          <w:noProof/>
          <w:color w:val="000000"/>
          <w:sz w:val="24"/>
          <w:szCs w:val="24"/>
        </w:rPr>
        <w:t>[</w:t>
      </w:r>
      <w:hyperlink w:anchor="_ENREF_8" w:tooltip="Canadian Food Inspection Agency, 2008 #1309" w:history="1">
        <w:r w:rsidR="002223E5">
          <w:rPr>
            <w:rFonts w:cs="Calibri"/>
            <w:noProof/>
            <w:color w:val="000000"/>
            <w:sz w:val="24"/>
            <w:szCs w:val="24"/>
          </w:rPr>
          <w:t>8</w:t>
        </w:r>
      </w:hyperlink>
      <w:r w:rsidR="000E2BFA">
        <w:rPr>
          <w:rFonts w:cs="Calibri"/>
          <w:noProof/>
          <w:color w:val="000000"/>
          <w:sz w:val="24"/>
          <w:szCs w:val="24"/>
        </w:rPr>
        <w:t xml:space="preserve">, </w:t>
      </w:r>
      <w:hyperlink w:anchor="_ENREF_18" w:tooltip="Public Health Agency of Canada, 2013 #1306" w:history="1">
        <w:r w:rsidR="002223E5">
          <w:rPr>
            <w:rFonts w:cs="Calibri"/>
            <w:noProof/>
            <w:color w:val="000000"/>
            <w:sz w:val="24"/>
            <w:szCs w:val="24"/>
          </w:rPr>
          <w:t>18</w:t>
        </w:r>
      </w:hyperlink>
      <w:r w:rsidR="000E2BFA">
        <w:rPr>
          <w:rFonts w:cs="Calibri"/>
          <w:noProof/>
          <w:color w:val="000000"/>
          <w:sz w:val="24"/>
          <w:szCs w:val="24"/>
        </w:rPr>
        <w:t>]</w:t>
      </w:r>
      <w:r w:rsidRPr="00FA5C81">
        <w:rPr>
          <w:rFonts w:cs="Calibri"/>
          <w:color w:val="000000"/>
          <w:sz w:val="24"/>
          <w:szCs w:val="24"/>
        </w:rPr>
        <w:fldChar w:fldCharType="end"/>
      </w:r>
      <w:r w:rsidRPr="00FA5C81">
        <w:rPr>
          <w:rFonts w:cs="Calibri"/>
          <w:color w:val="000000"/>
          <w:sz w:val="24"/>
          <w:szCs w:val="24"/>
        </w:rPr>
        <w:t xml:space="preserve">. </w:t>
      </w:r>
    </w:p>
    <w:p w:rsidR="007469B8" w:rsidRDefault="007469B8" w:rsidP="00E17362">
      <w:pPr>
        <w:pStyle w:val="Heading1"/>
      </w:pPr>
      <w:bookmarkStart w:id="11" w:name="_Toc387918947"/>
      <w:r>
        <w:t>Environmental Release</w:t>
      </w:r>
      <w:r w:rsidR="005C7DAE">
        <w:t>/Trial Inoculation</w:t>
      </w:r>
      <w:bookmarkEnd w:id="11"/>
    </w:p>
    <w:p w:rsidR="007469B8" w:rsidRDefault="007469B8">
      <w:pPr>
        <w:rPr>
          <w:rFonts w:cs="Calibri"/>
          <w:color w:val="000000"/>
          <w:sz w:val="24"/>
          <w:szCs w:val="24"/>
        </w:rPr>
      </w:pPr>
      <w:r>
        <w:rPr>
          <w:rFonts w:cs="Calibri"/>
          <w:color w:val="000000"/>
          <w:sz w:val="24"/>
          <w:szCs w:val="24"/>
        </w:rPr>
        <w:t>Researchers should document the location of the trial site, size of the research plots</w:t>
      </w:r>
      <w:r w:rsidR="000B47CC">
        <w:rPr>
          <w:rFonts w:cs="Calibri"/>
          <w:color w:val="000000"/>
          <w:sz w:val="24"/>
          <w:szCs w:val="24"/>
        </w:rPr>
        <w:t>,</w:t>
      </w:r>
      <w:r>
        <w:rPr>
          <w:rFonts w:cs="Calibri"/>
          <w:color w:val="000000"/>
          <w:sz w:val="24"/>
          <w:szCs w:val="24"/>
        </w:rPr>
        <w:t xml:space="preserve"> and the timing, rate, and inoculation method of the pathogen to those plots.</w:t>
      </w:r>
      <w:r w:rsidR="00146737">
        <w:rPr>
          <w:rFonts w:cs="Calibri"/>
          <w:color w:val="000000"/>
          <w:sz w:val="24"/>
          <w:szCs w:val="24"/>
        </w:rPr>
        <w:t xml:space="preserve"> The life stage of the pathogen to be inoculated and the concentration to be applied should be recorded.</w:t>
      </w:r>
      <w:r w:rsidR="00146737">
        <w:rPr>
          <w:rStyle w:val="FootnoteReference"/>
          <w:color w:val="000000"/>
          <w:sz w:val="24"/>
          <w:szCs w:val="24"/>
        </w:rPr>
        <w:footnoteReference w:id="8"/>
      </w:r>
      <w:r>
        <w:rPr>
          <w:rFonts w:cs="Calibri"/>
          <w:color w:val="000000"/>
          <w:sz w:val="24"/>
          <w:szCs w:val="24"/>
        </w:rPr>
        <w:t xml:space="preserve"> The method of application could affect potential dispersal in the environment so the </w:t>
      </w:r>
      <w:r w:rsidR="001B43ED">
        <w:rPr>
          <w:rFonts w:cs="Calibri"/>
          <w:color w:val="000000"/>
          <w:sz w:val="24"/>
          <w:szCs w:val="24"/>
        </w:rPr>
        <w:t xml:space="preserve">research protocol </w:t>
      </w:r>
      <w:r>
        <w:rPr>
          <w:rFonts w:cs="Calibri"/>
          <w:color w:val="000000"/>
          <w:sz w:val="24"/>
          <w:szCs w:val="24"/>
        </w:rPr>
        <w:t xml:space="preserve">should </w:t>
      </w:r>
      <w:r w:rsidR="001B43ED">
        <w:rPr>
          <w:rFonts w:cs="Calibri"/>
          <w:color w:val="000000"/>
          <w:sz w:val="24"/>
          <w:szCs w:val="24"/>
        </w:rPr>
        <w:t xml:space="preserve">include </w:t>
      </w:r>
      <w:r>
        <w:rPr>
          <w:rFonts w:cs="Calibri"/>
          <w:color w:val="000000"/>
          <w:sz w:val="24"/>
          <w:szCs w:val="24"/>
        </w:rPr>
        <w:t>sufficient isolation distances from sensitive areas (including commercial production fields) and any additional operational measures necessary to adequately contain dispersal of the microorganism.</w:t>
      </w:r>
      <w:r w:rsidR="001B43ED">
        <w:rPr>
          <w:rFonts w:cs="Calibri"/>
          <w:color w:val="000000"/>
          <w:sz w:val="24"/>
          <w:szCs w:val="24"/>
        </w:rPr>
        <w:t xml:space="preserve"> Conformity to isolation distances and additional operational measures should be documented and the documents retained.</w:t>
      </w:r>
      <w:r>
        <w:rPr>
          <w:rFonts w:cs="Calibri"/>
          <w:color w:val="000000"/>
          <w:sz w:val="24"/>
          <w:szCs w:val="24"/>
        </w:rPr>
        <w:t xml:space="preserve"> </w:t>
      </w:r>
    </w:p>
    <w:p w:rsidR="007469B8" w:rsidRDefault="007469B8">
      <w:pPr>
        <w:rPr>
          <w:rFonts w:cs="Calibri"/>
          <w:color w:val="000000"/>
          <w:sz w:val="24"/>
          <w:szCs w:val="24"/>
        </w:rPr>
      </w:pPr>
      <w:r>
        <w:rPr>
          <w:rFonts w:cs="Calibri"/>
          <w:color w:val="000000"/>
          <w:sz w:val="24"/>
          <w:szCs w:val="24"/>
        </w:rPr>
        <w:t>Unused inoculum should be returned to the lab</w:t>
      </w:r>
      <w:r w:rsidR="008145B8">
        <w:rPr>
          <w:rFonts w:cs="Calibri"/>
          <w:color w:val="000000"/>
          <w:sz w:val="24"/>
          <w:szCs w:val="24"/>
        </w:rPr>
        <w:t>oratory</w:t>
      </w:r>
      <w:r>
        <w:rPr>
          <w:rFonts w:cs="Calibri"/>
          <w:color w:val="000000"/>
          <w:sz w:val="24"/>
          <w:szCs w:val="24"/>
        </w:rPr>
        <w:t xml:space="preserve"> and </w:t>
      </w:r>
      <w:r w:rsidR="000764D5">
        <w:rPr>
          <w:rFonts w:cs="Calibri"/>
          <w:color w:val="000000"/>
          <w:sz w:val="24"/>
          <w:szCs w:val="24"/>
        </w:rPr>
        <w:t xml:space="preserve">stored or </w:t>
      </w:r>
      <w:r>
        <w:rPr>
          <w:rFonts w:cs="Calibri"/>
          <w:color w:val="000000"/>
          <w:sz w:val="24"/>
          <w:szCs w:val="24"/>
        </w:rPr>
        <w:t xml:space="preserve">disposed of as per current federal guidelines </w:t>
      </w:r>
      <w:r>
        <w:rPr>
          <w:rFonts w:cs="Calibri"/>
          <w:color w:val="000000"/>
          <w:sz w:val="24"/>
          <w:szCs w:val="24"/>
        </w:rPr>
        <w:fldChar w:fldCharType="begin"/>
      </w:r>
      <w:r w:rsidR="000E2BFA">
        <w:rPr>
          <w:rFonts w:cs="Calibri"/>
          <w:color w:val="000000"/>
          <w:sz w:val="24"/>
          <w:szCs w:val="24"/>
        </w:rPr>
        <w:instrText xml:space="preserve"> ADDIN EN.CITE &lt;EndNote&gt;&lt;Cite&gt;&lt;Author&gt;Public Health Agency of Canada&lt;/Author&gt;&lt;Year&gt;2013&lt;/Year&gt;&lt;RecNum&gt;1306&lt;/RecNum&gt;&lt;DisplayText&gt;[18]&lt;/DisplayText&gt;&lt;record&gt;&lt;rec-number&gt;1306&lt;/rec-number&gt;&lt;foreign-keys&gt;&lt;key app="EN" db-id="arwppdvwa5a2xue5ttppdv2o25d0evt5rrav"&gt;1306&lt;/key&gt;&lt;/foreign-keys&gt;&lt;ref-type name="Government Document"&gt;46&lt;/ref-type&gt;&lt;contributors&gt;&lt;authors&gt;&lt;author&gt;Public Health Agency of Canada,,&lt;/author&gt;&lt;/authors&gt;&lt;secondary-authors&gt;&lt;author&gt;Public Health Agency of Canada&lt;/author&gt;&lt;/secondary-authors&gt;&lt;/contributors&gt;&lt;titles&gt;&lt;title&gt;Canadian Biosafety Standards and Guidelines&lt;/title&gt;&lt;/titles&gt;&lt;edition&gt;First&lt;/edition&gt;&lt;dates&gt;&lt;year&gt;2013&lt;/year&gt;&lt;/dates&gt;&lt;pub-location&gt;Ottawa, ON&lt;/pub-location&gt;&lt;publisher&gt;Public Health Agency of Canada&lt;/publisher&gt;&lt;isbn&gt;130037&lt;/isbn&gt;&lt;urls&gt;&lt;related-urls&gt;&lt;url&gt;http://canadianbiosafetystandards.collaboration.gc.ca/cbsg-nldcb/assets/pdf/cbsg-nldcb-eng.pdf&lt;/url&gt;&lt;/related-urls&gt;&lt;/urls&gt;&lt;/record&gt;&lt;/Cite&gt;&lt;/EndNote&gt;</w:instrText>
      </w:r>
      <w:r>
        <w:rPr>
          <w:rFonts w:cs="Calibri"/>
          <w:color w:val="000000"/>
          <w:sz w:val="24"/>
          <w:szCs w:val="24"/>
        </w:rPr>
        <w:fldChar w:fldCharType="separate"/>
      </w:r>
      <w:r w:rsidR="000E2BFA">
        <w:rPr>
          <w:rFonts w:cs="Calibri"/>
          <w:noProof/>
          <w:color w:val="000000"/>
          <w:sz w:val="24"/>
          <w:szCs w:val="24"/>
        </w:rPr>
        <w:t>[</w:t>
      </w:r>
      <w:hyperlink w:anchor="_ENREF_18" w:tooltip="Public Health Agency of Canada, 2013 #1306" w:history="1">
        <w:r w:rsidR="002223E5">
          <w:rPr>
            <w:rFonts w:cs="Calibri"/>
            <w:noProof/>
            <w:color w:val="000000"/>
            <w:sz w:val="24"/>
            <w:szCs w:val="24"/>
          </w:rPr>
          <w:t>18</w:t>
        </w:r>
      </w:hyperlink>
      <w:r w:rsidR="000E2BFA">
        <w:rPr>
          <w:rFonts w:cs="Calibri"/>
          <w:noProof/>
          <w:color w:val="000000"/>
          <w:sz w:val="24"/>
          <w:szCs w:val="24"/>
        </w:rPr>
        <w:t>]</w:t>
      </w:r>
      <w:r>
        <w:rPr>
          <w:rFonts w:cs="Calibri"/>
          <w:color w:val="000000"/>
          <w:sz w:val="24"/>
          <w:szCs w:val="24"/>
        </w:rPr>
        <w:fldChar w:fldCharType="end"/>
      </w:r>
      <w:r>
        <w:rPr>
          <w:rFonts w:cs="Calibri"/>
          <w:color w:val="000000"/>
          <w:sz w:val="24"/>
          <w:szCs w:val="24"/>
        </w:rPr>
        <w:t xml:space="preserve">. </w:t>
      </w:r>
    </w:p>
    <w:p w:rsidR="007469B8" w:rsidRDefault="007469B8" w:rsidP="00E17362">
      <w:pPr>
        <w:pStyle w:val="Heading2"/>
      </w:pPr>
      <w:bookmarkStart w:id="12" w:name="_Toc387918948"/>
      <w:r>
        <w:t>Containment</w:t>
      </w:r>
      <w:bookmarkEnd w:id="12"/>
    </w:p>
    <w:p w:rsidR="007469B8" w:rsidRDefault="007469B8">
      <w:pPr>
        <w:rPr>
          <w:rFonts w:cs="Calibri"/>
          <w:color w:val="000000"/>
          <w:sz w:val="24"/>
          <w:szCs w:val="24"/>
        </w:rPr>
      </w:pPr>
      <w:r>
        <w:rPr>
          <w:rFonts w:cs="Calibri"/>
          <w:color w:val="000000"/>
          <w:sz w:val="24"/>
          <w:szCs w:val="24"/>
        </w:rPr>
        <w:t xml:space="preserve">Although the plant pathogens </w:t>
      </w:r>
      <w:r w:rsidR="00277079">
        <w:rPr>
          <w:rFonts w:cs="Calibri"/>
          <w:color w:val="000000"/>
          <w:sz w:val="24"/>
          <w:szCs w:val="24"/>
        </w:rPr>
        <w:t xml:space="preserve">that </w:t>
      </w:r>
      <w:r>
        <w:rPr>
          <w:rFonts w:cs="Calibri"/>
          <w:color w:val="000000"/>
          <w:sz w:val="24"/>
          <w:szCs w:val="24"/>
        </w:rPr>
        <w:t>fall under these guidelines are already present in the environment</w:t>
      </w:r>
      <w:r w:rsidR="006E30E7">
        <w:rPr>
          <w:rFonts w:cs="Calibri"/>
          <w:color w:val="000000"/>
          <w:sz w:val="24"/>
          <w:szCs w:val="24"/>
        </w:rPr>
        <w:t xml:space="preserve"> in Canada</w:t>
      </w:r>
      <w:r>
        <w:rPr>
          <w:rFonts w:cs="Calibri"/>
          <w:color w:val="000000"/>
          <w:sz w:val="24"/>
          <w:szCs w:val="24"/>
        </w:rPr>
        <w:t>, trial managers have a responsibility to reduce the risk of dispersal beyond the research trial, especially if the microorganism is of limited distribution.  Containment measures may be temporary, such as those specific to the inoculation event, others may need to be implemented for the duration of the trial, and some may be required to manage the site after the trial is completed. Specific measures will vary depending on the locale and the risks identified during the pest risk assessment but may include some of the following strategies:</w:t>
      </w:r>
    </w:p>
    <w:p w:rsidR="007469B8" w:rsidRPr="00E17362" w:rsidRDefault="007469B8" w:rsidP="00E17362">
      <w:pPr>
        <w:pStyle w:val="ListParagraph"/>
        <w:numPr>
          <w:ilvl w:val="0"/>
          <w:numId w:val="33"/>
        </w:numPr>
        <w:rPr>
          <w:rFonts w:cs="Calibri"/>
          <w:color w:val="000000"/>
          <w:sz w:val="24"/>
          <w:szCs w:val="24"/>
        </w:rPr>
      </w:pPr>
      <w:r>
        <w:rPr>
          <w:rFonts w:cs="Calibri"/>
          <w:color w:val="000000"/>
          <w:sz w:val="24"/>
          <w:szCs w:val="24"/>
        </w:rPr>
        <w:t>Restrict inoculation event depending on environmental conditions</w:t>
      </w:r>
    </w:p>
    <w:p w:rsidR="007469B8" w:rsidRDefault="007469B8" w:rsidP="00113592">
      <w:pPr>
        <w:pStyle w:val="ListParagraph"/>
        <w:numPr>
          <w:ilvl w:val="0"/>
          <w:numId w:val="33"/>
        </w:numPr>
        <w:rPr>
          <w:rFonts w:cs="Calibri"/>
          <w:color w:val="000000"/>
          <w:sz w:val="24"/>
          <w:szCs w:val="24"/>
        </w:rPr>
      </w:pPr>
      <w:r>
        <w:rPr>
          <w:rFonts w:cs="Calibri"/>
          <w:color w:val="000000"/>
          <w:sz w:val="24"/>
          <w:szCs w:val="24"/>
        </w:rPr>
        <w:t>Sanitation requirements for equipment used in inoculation</w:t>
      </w:r>
    </w:p>
    <w:p w:rsidR="007469B8" w:rsidRDefault="007469B8" w:rsidP="0011093A">
      <w:pPr>
        <w:pStyle w:val="ListParagraph"/>
        <w:numPr>
          <w:ilvl w:val="0"/>
          <w:numId w:val="33"/>
        </w:numPr>
        <w:rPr>
          <w:rFonts w:cs="Calibri"/>
          <w:color w:val="000000"/>
          <w:sz w:val="24"/>
          <w:szCs w:val="24"/>
        </w:rPr>
      </w:pPr>
      <w:r>
        <w:rPr>
          <w:rFonts w:cs="Calibri"/>
          <w:color w:val="000000"/>
          <w:sz w:val="24"/>
          <w:szCs w:val="24"/>
        </w:rPr>
        <w:t>Buffer zones to achieve spatial isolation from host crops</w:t>
      </w:r>
    </w:p>
    <w:p w:rsidR="007469B8" w:rsidRDefault="007469B8" w:rsidP="009E520F">
      <w:pPr>
        <w:pStyle w:val="ListParagraph"/>
        <w:numPr>
          <w:ilvl w:val="0"/>
          <w:numId w:val="33"/>
        </w:numPr>
        <w:rPr>
          <w:rFonts w:cs="Calibri"/>
          <w:color w:val="000000"/>
          <w:sz w:val="24"/>
          <w:szCs w:val="24"/>
        </w:rPr>
      </w:pPr>
      <w:r>
        <w:rPr>
          <w:rFonts w:cs="Calibri"/>
          <w:color w:val="000000"/>
          <w:sz w:val="24"/>
          <w:szCs w:val="24"/>
        </w:rPr>
        <w:t>Physical barriers (</w:t>
      </w:r>
      <w:r w:rsidR="009F2930">
        <w:rPr>
          <w:rFonts w:cs="Calibri"/>
          <w:color w:val="000000"/>
          <w:sz w:val="24"/>
          <w:szCs w:val="24"/>
        </w:rPr>
        <w:t>e.g.,</w:t>
      </w:r>
      <w:r>
        <w:rPr>
          <w:rFonts w:cs="Calibri"/>
          <w:color w:val="000000"/>
          <w:sz w:val="24"/>
          <w:szCs w:val="24"/>
        </w:rPr>
        <w:t xml:space="preserve"> non-host crops used as borders around trial site)</w:t>
      </w:r>
    </w:p>
    <w:p w:rsidR="007469B8" w:rsidRDefault="007469B8" w:rsidP="00B87F6C">
      <w:pPr>
        <w:pStyle w:val="ListParagraph"/>
        <w:numPr>
          <w:ilvl w:val="0"/>
          <w:numId w:val="33"/>
        </w:numPr>
        <w:rPr>
          <w:rFonts w:cs="Calibri"/>
          <w:color w:val="000000"/>
          <w:sz w:val="24"/>
          <w:szCs w:val="24"/>
        </w:rPr>
      </w:pPr>
      <w:r>
        <w:rPr>
          <w:rFonts w:cs="Calibri"/>
          <w:color w:val="000000"/>
          <w:sz w:val="24"/>
          <w:szCs w:val="24"/>
        </w:rPr>
        <w:t xml:space="preserve">Restricting access to </w:t>
      </w:r>
      <w:r w:rsidR="009F2930">
        <w:rPr>
          <w:rFonts w:cs="Calibri"/>
          <w:color w:val="000000"/>
          <w:sz w:val="24"/>
          <w:szCs w:val="24"/>
        </w:rPr>
        <w:t xml:space="preserve">the </w:t>
      </w:r>
      <w:r>
        <w:rPr>
          <w:rFonts w:cs="Calibri"/>
          <w:color w:val="000000"/>
          <w:sz w:val="24"/>
          <w:szCs w:val="24"/>
        </w:rPr>
        <w:t>trial site</w:t>
      </w:r>
    </w:p>
    <w:p w:rsidR="007469B8" w:rsidRDefault="007469B8" w:rsidP="00B87F6C">
      <w:pPr>
        <w:pStyle w:val="ListParagraph"/>
        <w:numPr>
          <w:ilvl w:val="0"/>
          <w:numId w:val="33"/>
        </w:numPr>
        <w:rPr>
          <w:rFonts w:cs="Calibri"/>
          <w:color w:val="000000"/>
          <w:sz w:val="24"/>
          <w:szCs w:val="24"/>
        </w:rPr>
      </w:pPr>
      <w:r>
        <w:rPr>
          <w:rFonts w:cs="Calibri"/>
          <w:color w:val="000000"/>
          <w:sz w:val="24"/>
          <w:szCs w:val="24"/>
        </w:rPr>
        <w:t>Removal of infected material from site upon termination of trial</w:t>
      </w:r>
      <w:r w:rsidR="00880B03">
        <w:rPr>
          <w:rFonts w:cs="Calibri"/>
          <w:color w:val="000000"/>
          <w:sz w:val="24"/>
          <w:szCs w:val="24"/>
        </w:rPr>
        <w:t xml:space="preserve"> and proper disposal</w:t>
      </w:r>
    </w:p>
    <w:p w:rsidR="007469B8" w:rsidRDefault="007469B8" w:rsidP="00113592">
      <w:pPr>
        <w:pStyle w:val="ListParagraph"/>
        <w:numPr>
          <w:ilvl w:val="0"/>
          <w:numId w:val="33"/>
        </w:numPr>
        <w:rPr>
          <w:rFonts w:cs="Calibri"/>
          <w:color w:val="000000"/>
          <w:sz w:val="24"/>
          <w:szCs w:val="24"/>
        </w:rPr>
      </w:pPr>
      <w:proofErr w:type="spellStart"/>
      <w:r>
        <w:rPr>
          <w:rFonts w:cs="Calibri"/>
          <w:color w:val="000000"/>
          <w:sz w:val="24"/>
          <w:szCs w:val="24"/>
        </w:rPr>
        <w:t>Recropping</w:t>
      </w:r>
      <w:proofErr w:type="spellEnd"/>
      <w:r>
        <w:rPr>
          <w:rFonts w:cs="Calibri"/>
          <w:color w:val="000000"/>
          <w:sz w:val="24"/>
          <w:szCs w:val="24"/>
        </w:rPr>
        <w:t xml:space="preserve"> restrictions for</w:t>
      </w:r>
      <w:r w:rsidR="001570AD">
        <w:rPr>
          <w:rFonts w:cs="Calibri"/>
          <w:color w:val="000000"/>
          <w:sz w:val="24"/>
          <w:szCs w:val="24"/>
        </w:rPr>
        <w:t xml:space="preserve"> the</w:t>
      </w:r>
      <w:r>
        <w:rPr>
          <w:rFonts w:cs="Calibri"/>
          <w:color w:val="000000"/>
          <w:sz w:val="24"/>
          <w:szCs w:val="24"/>
        </w:rPr>
        <w:t xml:space="preserve"> following growing season</w:t>
      </w:r>
    </w:p>
    <w:p w:rsidR="00880B03" w:rsidRPr="003716DB" w:rsidRDefault="00880B03" w:rsidP="00880B03">
      <w:pPr>
        <w:pStyle w:val="ListParagraph"/>
        <w:numPr>
          <w:ilvl w:val="0"/>
          <w:numId w:val="33"/>
        </w:numPr>
        <w:rPr>
          <w:rFonts w:cs="Calibri"/>
          <w:color w:val="000000"/>
          <w:sz w:val="24"/>
          <w:szCs w:val="24"/>
        </w:rPr>
      </w:pPr>
      <w:r w:rsidRPr="00880B03">
        <w:rPr>
          <w:rFonts w:cstheme="minorHAnsi"/>
          <w:color w:val="000000"/>
          <w:sz w:val="24"/>
          <w:szCs w:val="24"/>
        </w:rPr>
        <w:t>Cleaning and disinfection (sanitizing) of greenhouse benches and other potentially contaminated surfaces, trays, etc., at the end of the trial.</w:t>
      </w:r>
    </w:p>
    <w:p w:rsidR="007469B8" w:rsidRPr="000E3342" w:rsidRDefault="007469B8" w:rsidP="005E4D8E">
      <w:pPr>
        <w:rPr>
          <w:rFonts w:cs="Calibri"/>
          <w:color w:val="000000"/>
          <w:sz w:val="24"/>
          <w:szCs w:val="24"/>
        </w:rPr>
      </w:pPr>
      <w:r>
        <w:rPr>
          <w:rFonts w:cs="Calibri"/>
          <w:color w:val="000000"/>
          <w:sz w:val="24"/>
          <w:szCs w:val="24"/>
        </w:rPr>
        <w:t>Researchers</w:t>
      </w:r>
      <w:r w:rsidRPr="000E3342">
        <w:rPr>
          <w:rFonts w:cs="Calibri"/>
          <w:color w:val="000000"/>
          <w:sz w:val="24"/>
          <w:szCs w:val="24"/>
        </w:rPr>
        <w:t xml:space="preserve"> should document how containment will be achieved, for example, through the sanitation of field and equipment</w:t>
      </w:r>
      <w:r w:rsidR="002D3257">
        <w:rPr>
          <w:rFonts w:cs="Calibri"/>
          <w:color w:val="000000"/>
          <w:sz w:val="24"/>
          <w:szCs w:val="24"/>
        </w:rPr>
        <w:t>,</w:t>
      </w:r>
      <w:r w:rsidRPr="000E3342">
        <w:rPr>
          <w:rFonts w:cs="Calibri"/>
          <w:color w:val="000000"/>
          <w:sz w:val="24"/>
          <w:szCs w:val="24"/>
        </w:rPr>
        <w:t xml:space="preserve"> cultivation of the soil</w:t>
      </w:r>
      <w:r w:rsidR="002D3257">
        <w:rPr>
          <w:rFonts w:cs="Calibri"/>
          <w:color w:val="000000"/>
          <w:sz w:val="24"/>
          <w:szCs w:val="24"/>
        </w:rPr>
        <w:t>,</w:t>
      </w:r>
      <w:r w:rsidRPr="000E3342">
        <w:rPr>
          <w:rFonts w:cs="Calibri"/>
          <w:color w:val="000000"/>
          <w:sz w:val="24"/>
          <w:szCs w:val="24"/>
        </w:rPr>
        <w:t xml:space="preserve"> crop rotation</w:t>
      </w:r>
      <w:r w:rsidR="002D3257">
        <w:rPr>
          <w:rFonts w:cs="Calibri"/>
          <w:color w:val="000000"/>
          <w:sz w:val="24"/>
          <w:szCs w:val="24"/>
        </w:rPr>
        <w:t>,</w:t>
      </w:r>
      <w:r w:rsidRPr="000E3342">
        <w:rPr>
          <w:rFonts w:cs="Calibri"/>
          <w:color w:val="000000"/>
          <w:sz w:val="24"/>
          <w:szCs w:val="24"/>
        </w:rPr>
        <w:t xml:space="preserve"> and spatial isolation from nearby commercial operations. Researchers are advised to follow the Canadian Food Inspection Agency Basic Containment Standards for facilities handling plant pests throughout the course of the study </w:t>
      </w:r>
      <w:r>
        <w:rPr>
          <w:rFonts w:cs="Calibri"/>
          <w:color w:val="000000"/>
          <w:sz w:val="24"/>
          <w:szCs w:val="24"/>
        </w:rPr>
        <w:fldChar w:fldCharType="begin"/>
      </w:r>
      <w:r w:rsidR="000E2BFA">
        <w:rPr>
          <w:rFonts w:cs="Calibri"/>
          <w:color w:val="000000"/>
          <w:sz w:val="24"/>
          <w:szCs w:val="24"/>
        </w:rPr>
        <w:instrText xml:space="preserve"> ADDIN EN.CITE &lt;EndNote&gt;&lt;Cite&gt;&lt;Author&gt;Canadian Food Inspection Agency&lt;/Author&gt;&lt;Year&gt;2008&lt;/Year&gt;&lt;RecNum&gt;1309&lt;/RecNum&gt;&lt;DisplayText&gt;[8]&lt;/DisplayText&gt;&lt;record&gt;&lt;rec-number&gt;1309&lt;/rec-number&gt;&lt;foreign-keys&gt;&lt;key app="EN" db-id="arwppdvwa5a2xue5ttppdv2o25d0evt5rrav"&gt;1309&lt;/key&gt;&lt;/foreign-keys&gt;&lt;ref-type name="Government Document"&gt;46&lt;/ref-type&gt;&lt;contributors&gt;&lt;authors&gt;&lt;author&gt;Canadian Food Inspection Agency,,&lt;/author&gt;&lt;/authors&gt;&lt;secondary-authors&gt;&lt;author&gt;Office of Biohazard Containment and Safety, Science Branch, Canadian Food Inspection Agency&lt;/author&gt;&lt;/secondary-authors&gt;&lt;/contributors&gt;&lt;titles&gt;&lt;title&gt;Containment Standards for Facilities Handling Plant Pests&lt;/title&gt;&lt;/titles&gt;&lt;edition&gt;First&lt;/edition&gt;&lt;dates&gt;&lt;year&gt;2008&lt;/year&gt;&lt;/dates&gt;&lt;publisher&gt;Canadian Food Inspection Agency&lt;/publisher&gt;&lt;isbn&gt;A104-65/2008E&lt;/isbn&gt;&lt;urls&gt;&lt;related-urls&gt;&lt;url&gt;http://www.inspection.gc.ca/english/sci/bio/plaveg/placone.shtml#a2&lt;/url&gt;&lt;/related-urls&gt;&lt;/urls&gt;&lt;/record&gt;&lt;/Cite&gt;&lt;/EndNote&gt;</w:instrText>
      </w:r>
      <w:r>
        <w:rPr>
          <w:rFonts w:cs="Calibri"/>
          <w:color w:val="000000"/>
          <w:sz w:val="24"/>
          <w:szCs w:val="24"/>
        </w:rPr>
        <w:fldChar w:fldCharType="separate"/>
      </w:r>
      <w:r w:rsidR="000E2BFA">
        <w:rPr>
          <w:rFonts w:cs="Calibri"/>
          <w:noProof/>
          <w:color w:val="000000"/>
          <w:sz w:val="24"/>
          <w:szCs w:val="24"/>
        </w:rPr>
        <w:t>[</w:t>
      </w:r>
      <w:hyperlink w:anchor="_ENREF_8" w:tooltip="Canadian Food Inspection Agency, 2008 #1309" w:history="1">
        <w:r w:rsidR="002223E5">
          <w:rPr>
            <w:rFonts w:cs="Calibri"/>
            <w:noProof/>
            <w:color w:val="000000"/>
            <w:sz w:val="24"/>
            <w:szCs w:val="24"/>
          </w:rPr>
          <w:t>8</w:t>
        </w:r>
      </w:hyperlink>
      <w:r w:rsidR="000E2BFA">
        <w:rPr>
          <w:rFonts w:cs="Calibri"/>
          <w:noProof/>
          <w:color w:val="000000"/>
          <w:sz w:val="24"/>
          <w:szCs w:val="24"/>
        </w:rPr>
        <w:t>]</w:t>
      </w:r>
      <w:r>
        <w:rPr>
          <w:rFonts w:cs="Calibri"/>
          <w:color w:val="000000"/>
          <w:sz w:val="24"/>
          <w:szCs w:val="24"/>
        </w:rPr>
        <w:fldChar w:fldCharType="end"/>
      </w:r>
      <w:r w:rsidRPr="000E3342">
        <w:rPr>
          <w:rFonts w:cs="Calibri"/>
          <w:color w:val="000000"/>
          <w:sz w:val="24"/>
          <w:szCs w:val="24"/>
        </w:rPr>
        <w:t>.</w:t>
      </w:r>
    </w:p>
    <w:p w:rsidR="007469B8" w:rsidRDefault="007469B8" w:rsidP="009E520F">
      <w:pPr>
        <w:rPr>
          <w:rFonts w:cs="Calibri"/>
          <w:color w:val="000000"/>
          <w:sz w:val="24"/>
          <w:szCs w:val="24"/>
        </w:rPr>
      </w:pPr>
      <w:r w:rsidRPr="000E3342">
        <w:rPr>
          <w:rFonts w:cs="Calibri"/>
          <w:color w:val="000000"/>
          <w:sz w:val="24"/>
          <w:szCs w:val="24"/>
        </w:rPr>
        <w:t xml:space="preserve">Researchers should consider the host range of the pathogen and the presence of any susceptible hosts in close proximity to the field site. If potential hosts are identified, strategies to mitigate </w:t>
      </w:r>
      <w:r w:rsidR="00E5247C">
        <w:rPr>
          <w:rFonts w:cs="Calibri"/>
          <w:color w:val="000000"/>
          <w:sz w:val="24"/>
          <w:szCs w:val="24"/>
        </w:rPr>
        <w:t>potential</w:t>
      </w:r>
      <w:r w:rsidR="00E5247C" w:rsidRPr="000E3342">
        <w:rPr>
          <w:rFonts w:cs="Calibri"/>
          <w:color w:val="000000"/>
          <w:sz w:val="24"/>
          <w:szCs w:val="24"/>
        </w:rPr>
        <w:t xml:space="preserve"> </w:t>
      </w:r>
      <w:r w:rsidRPr="000E3342">
        <w:rPr>
          <w:rFonts w:cs="Calibri"/>
          <w:color w:val="000000"/>
          <w:sz w:val="24"/>
          <w:szCs w:val="24"/>
        </w:rPr>
        <w:t>risk should be developed and documented</w:t>
      </w:r>
      <w:r w:rsidR="00E5247C">
        <w:rPr>
          <w:rFonts w:cs="Calibri"/>
          <w:color w:val="000000"/>
          <w:sz w:val="24"/>
          <w:szCs w:val="24"/>
        </w:rPr>
        <w:t>. E</w:t>
      </w:r>
      <w:r w:rsidRPr="000E3342">
        <w:rPr>
          <w:rFonts w:cs="Calibri"/>
          <w:color w:val="000000"/>
          <w:sz w:val="24"/>
          <w:szCs w:val="24"/>
        </w:rPr>
        <w:t>xample</w:t>
      </w:r>
      <w:r w:rsidR="00E5247C">
        <w:rPr>
          <w:rFonts w:cs="Calibri"/>
          <w:color w:val="000000"/>
          <w:sz w:val="24"/>
          <w:szCs w:val="24"/>
        </w:rPr>
        <w:t>s include</w:t>
      </w:r>
      <w:r w:rsidR="002D3257">
        <w:rPr>
          <w:rFonts w:cs="Calibri"/>
          <w:color w:val="000000"/>
          <w:sz w:val="24"/>
          <w:szCs w:val="24"/>
        </w:rPr>
        <w:t xml:space="preserve"> (but are not limited to)</w:t>
      </w:r>
      <w:r w:rsidRPr="000E3342">
        <w:rPr>
          <w:rFonts w:cs="Calibri"/>
          <w:color w:val="000000"/>
          <w:sz w:val="24"/>
          <w:szCs w:val="24"/>
        </w:rPr>
        <w:t xml:space="preserve"> </w:t>
      </w:r>
      <w:r>
        <w:rPr>
          <w:rFonts w:cs="Calibri"/>
          <w:color w:val="000000"/>
          <w:sz w:val="24"/>
          <w:szCs w:val="24"/>
        </w:rPr>
        <w:t xml:space="preserve">removal </w:t>
      </w:r>
      <w:r w:rsidRPr="000E3342">
        <w:rPr>
          <w:rFonts w:cs="Calibri"/>
          <w:color w:val="000000"/>
          <w:sz w:val="24"/>
          <w:szCs w:val="24"/>
        </w:rPr>
        <w:t>of host species, use of a different application method, or selection of an alternative site.</w:t>
      </w:r>
    </w:p>
    <w:p w:rsidR="007469B8" w:rsidRDefault="007469B8" w:rsidP="0011093A">
      <w:pPr>
        <w:rPr>
          <w:rFonts w:cs="Calibri"/>
          <w:color w:val="000000"/>
          <w:sz w:val="24"/>
          <w:szCs w:val="24"/>
        </w:rPr>
      </w:pPr>
      <w:r w:rsidRPr="005C1A1B">
        <w:rPr>
          <w:rFonts w:cs="Calibri"/>
          <w:color w:val="000000"/>
          <w:sz w:val="24"/>
          <w:szCs w:val="24"/>
        </w:rPr>
        <w:t xml:space="preserve">Field equipment has the potential to harbour and transmit inoculum. Sanitation practices to remove excess soil and debris from field equipment </w:t>
      </w:r>
      <w:r>
        <w:rPr>
          <w:rFonts w:cs="Calibri"/>
          <w:color w:val="000000"/>
          <w:sz w:val="24"/>
          <w:szCs w:val="24"/>
        </w:rPr>
        <w:t xml:space="preserve">exposed to inoculum </w:t>
      </w:r>
      <w:r w:rsidRPr="005C1A1B">
        <w:rPr>
          <w:rFonts w:cs="Calibri"/>
          <w:color w:val="000000"/>
          <w:sz w:val="24"/>
          <w:szCs w:val="24"/>
        </w:rPr>
        <w:t xml:space="preserve">should be conducted at the field </w:t>
      </w:r>
      <w:r>
        <w:rPr>
          <w:rFonts w:cs="Calibri"/>
          <w:color w:val="000000"/>
          <w:sz w:val="24"/>
          <w:szCs w:val="24"/>
        </w:rPr>
        <w:t xml:space="preserve">trial </w:t>
      </w:r>
      <w:r w:rsidRPr="005C1A1B">
        <w:rPr>
          <w:rFonts w:cs="Calibri"/>
          <w:color w:val="000000"/>
          <w:sz w:val="24"/>
          <w:szCs w:val="24"/>
        </w:rPr>
        <w:t>site</w:t>
      </w:r>
      <w:r>
        <w:rPr>
          <w:rFonts w:cs="Calibri"/>
          <w:color w:val="000000"/>
          <w:sz w:val="24"/>
          <w:szCs w:val="24"/>
        </w:rPr>
        <w:t xml:space="preserve"> if possible</w:t>
      </w:r>
      <w:r w:rsidR="00017F6F">
        <w:rPr>
          <w:rFonts w:cs="Calibri"/>
          <w:color w:val="000000"/>
          <w:sz w:val="24"/>
          <w:szCs w:val="24"/>
        </w:rPr>
        <w:t>. T</w:t>
      </w:r>
      <w:r w:rsidRPr="005C1A1B">
        <w:rPr>
          <w:rFonts w:cs="Calibri"/>
          <w:color w:val="000000"/>
          <w:sz w:val="24"/>
          <w:szCs w:val="24"/>
        </w:rPr>
        <w:t>hese can include</w:t>
      </w:r>
      <w:r>
        <w:rPr>
          <w:rFonts w:cs="Calibri"/>
          <w:color w:val="000000"/>
          <w:sz w:val="24"/>
          <w:szCs w:val="24"/>
        </w:rPr>
        <w:t xml:space="preserve"> brushing off of visible debris,</w:t>
      </w:r>
      <w:r w:rsidRPr="005C1A1B">
        <w:rPr>
          <w:rFonts w:cs="Calibri"/>
          <w:color w:val="000000"/>
          <w:sz w:val="24"/>
          <w:szCs w:val="24"/>
        </w:rPr>
        <w:t xml:space="preserve"> high-pressure washing and</w:t>
      </w:r>
      <w:r w:rsidR="00B36234">
        <w:rPr>
          <w:rFonts w:cs="Calibri"/>
          <w:color w:val="000000"/>
          <w:sz w:val="24"/>
          <w:szCs w:val="24"/>
        </w:rPr>
        <w:t>,</w:t>
      </w:r>
      <w:r w:rsidRPr="005C1A1B">
        <w:rPr>
          <w:rFonts w:cs="Calibri"/>
          <w:color w:val="000000"/>
          <w:sz w:val="24"/>
          <w:szCs w:val="24"/>
        </w:rPr>
        <w:t xml:space="preserve"> if appropriate, sterilization/bleaching of the equipment. </w:t>
      </w:r>
      <w:r>
        <w:rPr>
          <w:rFonts w:cs="Calibri"/>
          <w:color w:val="000000"/>
          <w:sz w:val="24"/>
          <w:szCs w:val="24"/>
        </w:rPr>
        <w:t>All hand tools and exposed surfaces should be</w:t>
      </w:r>
      <w:r w:rsidR="00017F6F">
        <w:rPr>
          <w:rFonts w:cs="Calibri"/>
          <w:color w:val="000000"/>
          <w:sz w:val="24"/>
          <w:szCs w:val="24"/>
        </w:rPr>
        <w:t xml:space="preserve"> cleaned and, if required,</w:t>
      </w:r>
      <w:r>
        <w:rPr>
          <w:rFonts w:cs="Calibri"/>
          <w:color w:val="000000"/>
          <w:sz w:val="24"/>
          <w:szCs w:val="24"/>
        </w:rPr>
        <w:t xml:space="preserve"> treated with a disinfectant that is</w:t>
      </w:r>
      <w:r w:rsidRPr="00AA6D7A">
        <w:rPr>
          <w:rFonts w:cs="Calibri"/>
          <w:color w:val="000000"/>
          <w:sz w:val="24"/>
          <w:szCs w:val="24"/>
        </w:rPr>
        <w:t xml:space="preserve"> effective against the </w:t>
      </w:r>
      <w:r>
        <w:rPr>
          <w:rFonts w:cs="Calibri"/>
          <w:color w:val="000000"/>
          <w:sz w:val="24"/>
          <w:szCs w:val="24"/>
        </w:rPr>
        <w:t>plant pathogen.</w:t>
      </w:r>
    </w:p>
    <w:p w:rsidR="007469B8" w:rsidRPr="00FA5C81" w:rsidRDefault="007469B8" w:rsidP="00BA0FF3">
      <w:pPr>
        <w:pStyle w:val="Heading2"/>
        <w:rPr>
          <w:sz w:val="24"/>
        </w:rPr>
      </w:pPr>
      <w:bookmarkStart w:id="13" w:name="_Toc387918949"/>
      <w:r w:rsidRPr="00FA5C81">
        <w:rPr>
          <w:sz w:val="24"/>
        </w:rPr>
        <w:t>Additional Exposure Considerations</w:t>
      </w:r>
      <w:bookmarkEnd w:id="13"/>
    </w:p>
    <w:p w:rsidR="007469B8" w:rsidRPr="00B161A8" w:rsidRDefault="007469B8">
      <w:pPr>
        <w:rPr>
          <w:rFonts w:cs="Calibri"/>
          <w:color w:val="000000"/>
          <w:sz w:val="24"/>
          <w:szCs w:val="24"/>
        </w:rPr>
      </w:pPr>
      <w:r w:rsidRPr="00B161A8">
        <w:rPr>
          <w:rFonts w:cs="Calibri"/>
          <w:color w:val="000000"/>
          <w:sz w:val="24"/>
          <w:szCs w:val="24"/>
        </w:rPr>
        <w:t>The research</w:t>
      </w:r>
      <w:r>
        <w:rPr>
          <w:rFonts w:cs="Calibri"/>
          <w:color w:val="000000"/>
          <w:sz w:val="24"/>
          <w:szCs w:val="24"/>
        </w:rPr>
        <w:t>er</w:t>
      </w:r>
      <w:r w:rsidRPr="00B161A8">
        <w:rPr>
          <w:rFonts w:cs="Calibri"/>
          <w:color w:val="000000"/>
          <w:sz w:val="24"/>
          <w:szCs w:val="24"/>
        </w:rPr>
        <w:t xml:space="preserve"> should</w:t>
      </w:r>
      <w:r w:rsidR="00880B03">
        <w:rPr>
          <w:rFonts w:cs="Calibri"/>
          <w:color w:val="000000"/>
          <w:sz w:val="24"/>
          <w:szCs w:val="24"/>
        </w:rPr>
        <w:t xml:space="preserve"> ensure and document that</w:t>
      </w:r>
      <w:r w:rsidR="008206C6">
        <w:rPr>
          <w:rFonts w:cs="Calibri"/>
          <w:color w:val="000000"/>
          <w:sz w:val="24"/>
          <w:szCs w:val="24"/>
        </w:rPr>
        <w:t xml:space="preserve"> </w:t>
      </w:r>
      <w:r w:rsidR="00880B03">
        <w:rPr>
          <w:rFonts w:cs="Calibri"/>
          <w:color w:val="000000"/>
          <w:sz w:val="24"/>
          <w:szCs w:val="24"/>
        </w:rPr>
        <w:t>all</w:t>
      </w:r>
      <w:r w:rsidRPr="00B161A8">
        <w:rPr>
          <w:rFonts w:cs="Calibri"/>
          <w:color w:val="000000"/>
          <w:sz w:val="24"/>
          <w:szCs w:val="24"/>
        </w:rPr>
        <w:t xml:space="preserve"> personnel </w:t>
      </w:r>
      <w:r w:rsidR="00880B03">
        <w:rPr>
          <w:rFonts w:cs="Calibri"/>
          <w:color w:val="000000"/>
          <w:sz w:val="24"/>
          <w:szCs w:val="24"/>
        </w:rPr>
        <w:t>who</w:t>
      </w:r>
      <w:r w:rsidR="00880B03" w:rsidRPr="00B161A8">
        <w:rPr>
          <w:rFonts w:cs="Calibri"/>
          <w:color w:val="000000"/>
          <w:sz w:val="24"/>
          <w:szCs w:val="24"/>
        </w:rPr>
        <w:t xml:space="preserve"> </w:t>
      </w:r>
      <w:r w:rsidRPr="00B161A8">
        <w:rPr>
          <w:rFonts w:cs="Calibri"/>
          <w:color w:val="000000"/>
          <w:sz w:val="24"/>
          <w:szCs w:val="24"/>
        </w:rPr>
        <w:t>could be exposed to the microorganism during the course of the study (inoculation</w:t>
      </w:r>
      <w:r>
        <w:rPr>
          <w:rFonts w:cs="Calibri"/>
          <w:color w:val="000000"/>
          <w:sz w:val="24"/>
          <w:szCs w:val="24"/>
        </w:rPr>
        <w:t>, trial maintenance</w:t>
      </w:r>
      <w:r w:rsidR="00DC6C65">
        <w:rPr>
          <w:rFonts w:cs="Calibri"/>
          <w:color w:val="000000"/>
          <w:sz w:val="24"/>
          <w:szCs w:val="24"/>
        </w:rPr>
        <w:t>,</w:t>
      </w:r>
      <w:r w:rsidRPr="00B161A8">
        <w:rPr>
          <w:rFonts w:cs="Calibri"/>
          <w:color w:val="000000"/>
          <w:sz w:val="24"/>
          <w:szCs w:val="24"/>
        </w:rPr>
        <w:t xml:space="preserve"> and trial rating phases) </w:t>
      </w:r>
      <w:r w:rsidR="00880B03">
        <w:rPr>
          <w:rFonts w:cs="Calibri"/>
          <w:color w:val="000000"/>
          <w:sz w:val="24"/>
          <w:szCs w:val="24"/>
        </w:rPr>
        <w:t xml:space="preserve">wear </w:t>
      </w:r>
      <w:r w:rsidRPr="00B161A8">
        <w:rPr>
          <w:rFonts w:cs="Calibri"/>
          <w:color w:val="000000"/>
          <w:sz w:val="24"/>
          <w:szCs w:val="24"/>
        </w:rPr>
        <w:t xml:space="preserve">the </w:t>
      </w:r>
      <w:r w:rsidR="00880B03">
        <w:rPr>
          <w:rFonts w:cs="Calibri"/>
          <w:color w:val="000000"/>
          <w:sz w:val="24"/>
          <w:szCs w:val="24"/>
        </w:rPr>
        <w:t xml:space="preserve">proper </w:t>
      </w:r>
      <w:r w:rsidRPr="00B161A8">
        <w:rPr>
          <w:rFonts w:cs="Calibri"/>
          <w:color w:val="000000"/>
          <w:sz w:val="24"/>
          <w:szCs w:val="24"/>
        </w:rPr>
        <w:t>personal protective equipment</w:t>
      </w:r>
      <w:r w:rsidR="00880B03">
        <w:rPr>
          <w:rFonts w:cs="Calibri"/>
          <w:color w:val="000000"/>
          <w:sz w:val="24"/>
          <w:szCs w:val="24"/>
        </w:rPr>
        <w:t xml:space="preserve"> (PPE) for their activity and level of exposure to the plant pathogen.</w:t>
      </w:r>
      <w:r w:rsidRPr="00B161A8">
        <w:rPr>
          <w:rFonts w:cs="Calibri"/>
          <w:color w:val="000000"/>
          <w:sz w:val="24"/>
          <w:szCs w:val="24"/>
        </w:rPr>
        <w:t xml:space="preserve"> </w:t>
      </w:r>
      <w:r w:rsidR="00880B03">
        <w:rPr>
          <w:rFonts w:cs="Calibri"/>
          <w:color w:val="000000"/>
          <w:sz w:val="24"/>
          <w:szCs w:val="24"/>
        </w:rPr>
        <w:t xml:space="preserve"> </w:t>
      </w:r>
      <w:r w:rsidR="00880B03">
        <w:rPr>
          <w:rFonts w:cstheme="minorHAnsi"/>
          <w:color w:val="000000"/>
          <w:sz w:val="24"/>
          <w:szCs w:val="24"/>
        </w:rPr>
        <w:t xml:space="preserve">Basic PPE for handling and applying any plant pathogen inoculum would </w:t>
      </w:r>
      <w:r w:rsidR="0066593B">
        <w:rPr>
          <w:rFonts w:cstheme="minorHAnsi"/>
          <w:color w:val="000000"/>
          <w:sz w:val="24"/>
          <w:szCs w:val="24"/>
        </w:rPr>
        <w:t>include</w:t>
      </w:r>
      <w:r w:rsidR="00880B03">
        <w:rPr>
          <w:rFonts w:cstheme="minorHAnsi"/>
          <w:color w:val="000000"/>
          <w:sz w:val="24"/>
          <w:szCs w:val="24"/>
        </w:rPr>
        <w:t xml:space="preserve"> rubber gloves, eye protection, a lab coat or disposable TYVEC suit, and a particle respirator or dust mask.  Depending on the pathogen, personnel involved in crop maintenance or trial rating may not need t</w:t>
      </w:r>
      <w:r w:rsidR="00343C8C">
        <w:rPr>
          <w:rFonts w:cstheme="minorHAnsi"/>
          <w:color w:val="000000"/>
          <w:sz w:val="24"/>
          <w:szCs w:val="24"/>
        </w:rPr>
        <w:t>o wear any protective equipment —</w:t>
      </w:r>
      <w:r w:rsidR="00880B03">
        <w:rPr>
          <w:rFonts w:cstheme="minorHAnsi"/>
          <w:color w:val="000000"/>
          <w:sz w:val="24"/>
          <w:szCs w:val="24"/>
        </w:rPr>
        <w:t xml:space="preserve"> in the case of common, low-risk pathogens</w:t>
      </w:r>
      <w:r w:rsidR="00343C8C">
        <w:rPr>
          <w:rFonts w:cstheme="minorHAnsi"/>
          <w:color w:val="000000"/>
          <w:sz w:val="24"/>
          <w:szCs w:val="24"/>
        </w:rPr>
        <w:t xml:space="preserve"> that</w:t>
      </w:r>
      <w:r w:rsidR="00880B03">
        <w:rPr>
          <w:rFonts w:cstheme="minorHAnsi"/>
          <w:color w:val="000000"/>
          <w:sz w:val="24"/>
          <w:szCs w:val="24"/>
        </w:rPr>
        <w:t xml:space="preserve"> are already widely present on the crop and in the environment</w:t>
      </w:r>
      <w:r w:rsidR="00343C8C">
        <w:rPr>
          <w:rFonts w:cstheme="minorHAnsi"/>
          <w:color w:val="000000"/>
          <w:sz w:val="24"/>
          <w:szCs w:val="24"/>
        </w:rPr>
        <w:t xml:space="preserve"> —</w:t>
      </w:r>
      <w:r w:rsidR="00880B03">
        <w:rPr>
          <w:rFonts w:cstheme="minorHAnsi"/>
          <w:color w:val="000000"/>
          <w:sz w:val="24"/>
          <w:szCs w:val="24"/>
        </w:rPr>
        <w:t xml:space="preserve"> or </w:t>
      </w:r>
      <w:r w:rsidR="00343C8C">
        <w:rPr>
          <w:rFonts w:cstheme="minorHAnsi"/>
          <w:color w:val="000000"/>
          <w:sz w:val="24"/>
          <w:szCs w:val="24"/>
        </w:rPr>
        <w:t xml:space="preserve">they </w:t>
      </w:r>
      <w:r w:rsidR="00880B03">
        <w:rPr>
          <w:rFonts w:cstheme="minorHAnsi"/>
          <w:color w:val="000000"/>
          <w:sz w:val="24"/>
          <w:szCs w:val="24"/>
        </w:rPr>
        <w:t>may need to wear latex gloves, eye protection or a dust mask.</w:t>
      </w:r>
    </w:p>
    <w:p w:rsidR="007469B8" w:rsidRPr="00B161A8" w:rsidRDefault="007469B8" w:rsidP="00C37FD2">
      <w:pPr>
        <w:rPr>
          <w:rFonts w:cs="Calibri"/>
          <w:color w:val="000000"/>
          <w:sz w:val="24"/>
          <w:szCs w:val="24"/>
        </w:rPr>
      </w:pPr>
      <w:r>
        <w:rPr>
          <w:rFonts w:cs="Calibri"/>
          <w:color w:val="000000"/>
          <w:sz w:val="24"/>
          <w:szCs w:val="24"/>
        </w:rPr>
        <w:t xml:space="preserve">Contingency plans should be developed to deal with accidental releases or spills of inoculum. Specific measures will depend on the type and quantity of inoculum, the risk associated with the pathogen and </w:t>
      </w:r>
      <w:r w:rsidR="00DC6C65">
        <w:rPr>
          <w:rFonts w:cs="Calibri"/>
          <w:color w:val="000000"/>
          <w:sz w:val="24"/>
          <w:szCs w:val="24"/>
        </w:rPr>
        <w:t>the location where</w:t>
      </w:r>
      <w:r>
        <w:rPr>
          <w:rFonts w:cs="Calibri"/>
          <w:color w:val="000000"/>
          <w:sz w:val="24"/>
          <w:szCs w:val="24"/>
        </w:rPr>
        <w:t xml:space="preserve"> the release occurred. </w:t>
      </w:r>
      <w:r w:rsidR="000D4B94">
        <w:rPr>
          <w:rFonts w:cstheme="minorHAnsi"/>
          <w:color w:val="000000"/>
          <w:sz w:val="24"/>
          <w:szCs w:val="24"/>
        </w:rPr>
        <w:t xml:space="preserve">The researcher should </w:t>
      </w:r>
      <w:r w:rsidR="000D4B94" w:rsidRPr="00B161A8">
        <w:rPr>
          <w:rFonts w:cstheme="minorHAnsi"/>
          <w:color w:val="000000"/>
          <w:sz w:val="24"/>
          <w:szCs w:val="24"/>
        </w:rPr>
        <w:t>document</w:t>
      </w:r>
      <w:r w:rsidR="000D4B94">
        <w:rPr>
          <w:rFonts w:cstheme="minorHAnsi"/>
          <w:color w:val="000000"/>
          <w:sz w:val="24"/>
          <w:szCs w:val="24"/>
        </w:rPr>
        <w:t xml:space="preserve"> that appropriate measures were taken.</w:t>
      </w:r>
    </w:p>
    <w:p w:rsidR="007469B8" w:rsidRDefault="007469B8" w:rsidP="00EE19E3">
      <w:pPr>
        <w:pStyle w:val="Heading1"/>
      </w:pPr>
      <w:bookmarkStart w:id="14" w:name="_Toc387918950"/>
      <w:r>
        <w:t>Guidelines</w:t>
      </w:r>
      <w:r w:rsidRPr="00EE19E3" w:rsidDel="002315E8">
        <w:t xml:space="preserve"> </w:t>
      </w:r>
      <w:r w:rsidRPr="00EE19E3">
        <w:t xml:space="preserve">for use of </w:t>
      </w:r>
      <w:r>
        <w:t>M</w:t>
      </w:r>
      <w:r w:rsidRPr="00EE19E3">
        <w:t xml:space="preserve">icroorganisms in </w:t>
      </w:r>
      <w:r>
        <w:t>G</w:t>
      </w:r>
      <w:r w:rsidRPr="00EE19E3">
        <w:t>reenhouses</w:t>
      </w:r>
      <w:bookmarkEnd w:id="14"/>
    </w:p>
    <w:p w:rsidR="00343C8C" w:rsidRPr="008206C6" w:rsidRDefault="00343C8C" w:rsidP="00343C8C">
      <w:pPr>
        <w:rPr>
          <w:rFonts w:cs="Calibri"/>
          <w:color w:val="000000"/>
          <w:sz w:val="24"/>
          <w:szCs w:val="24"/>
        </w:rPr>
      </w:pPr>
      <w:r w:rsidRPr="008206C6">
        <w:rPr>
          <w:rFonts w:cs="Calibri"/>
          <w:color w:val="000000"/>
          <w:sz w:val="24"/>
          <w:szCs w:val="24"/>
        </w:rPr>
        <w:t xml:space="preserve">Plant disease trials in commercial greenhouses generally are </w:t>
      </w:r>
      <w:r w:rsidR="004D164E">
        <w:rPr>
          <w:rFonts w:cs="Calibri"/>
          <w:color w:val="000000"/>
          <w:sz w:val="24"/>
          <w:szCs w:val="24"/>
        </w:rPr>
        <w:t>performed</w:t>
      </w:r>
      <w:r w:rsidRPr="008206C6">
        <w:rPr>
          <w:rFonts w:cs="Calibri"/>
          <w:color w:val="000000"/>
          <w:sz w:val="24"/>
          <w:szCs w:val="24"/>
        </w:rPr>
        <w:t xml:space="preserve"> with natural inoculum, i.e., inoculum already present, naturally, in the commercial crop or greenhouse.  Plant disease research trials are very rarely inoculated in commercial greenhouses because commercial producers do not want to add to the natural </w:t>
      </w:r>
      <w:r w:rsidR="001F01E0" w:rsidRPr="008206C6">
        <w:rPr>
          <w:rFonts w:cs="Calibri"/>
          <w:color w:val="000000"/>
          <w:sz w:val="24"/>
          <w:szCs w:val="24"/>
        </w:rPr>
        <w:t xml:space="preserve">pathogen load already present; </w:t>
      </w:r>
      <w:r w:rsidRPr="008206C6">
        <w:rPr>
          <w:rFonts w:cs="Calibri"/>
          <w:color w:val="000000"/>
          <w:sz w:val="24"/>
          <w:szCs w:val="24"/>
        </w:rPr>
        <w:t>are generally reluctant to leave untreated (control) plants</w:t>
      </w:r>
      <w:r w:rsidR="001F01E0" w:rsidRPr="008206C6">
        <w:rPr>
          <w:rFonts w:cs="Calibri"/>
          <w:color w:val="000000"/>
          <w:sz w:val="24"/>
          <w:szCs w:val="24"/>
        </w:rPr>
        <w:t>;</w:t>
      </w:r>
      <w:r w:rsidRPr="008206C6">
        <w:rPr>
          <w:rFonts w:cs="Calibri"/>
          <w:color w:val="000000"/>
          <w:sz w:val="24"/>
          <w:szCs w:val="24"/>
        </w:rPr>
        <w:t xml:space="preserve"> and</w:t>
      </w:r>
      <w:r w:rsidR="001F01E0" w:rsidRPr="008206C6">
        <w:rPr>
          <w:rFonts w:cs="Calibri"/>
          <w:color w:val="000000"/>
          <w:sz w:val="24"/>
          <w:szCs w:val="24"/>
        </w:rPr>
        <w:t>,</w:t>
      </w:r>
      <w:r w:rsidRPr="008206C6">
        <w:rPr>
          <w:rFonts w:cs="Calibri"/>
          <w:color w:val="000000"/>
          <w:sz w:val="24"/>
          <w:szCs w:val="24"/>
        </w:rPr>
        <w:t xml:space="preserve"> as a rule, grow and maintain the crop and environment in such a way as to be as unfavourab</w:t>
      </w:r>
      <w:r w:rsidR="001F01E0" w:rsidRPr="008206C6">
        <w:rPr>
          <w:rFonts w:cs="Calibri"/>
          <w:color w:val="000000"/>
          <w:sz w:val="24"/>
          <w:szCs w:val="24"/>
        </w:rPr>
        <w:t>le to plant disease development</w:t>
      </w:r>
      <w:r w:rsidRPr="008206C6">
        <w:rPr>
          <w:rFonts w:cs="Calibri"/>
          <w:color w:val="000000"/>
          <w:sz w:val="24"/>
          <w:szCs w:val="24"/>
        </w:rPr>
        <w:t xml:space="preserve"> as possible.  </w:t>
      </w:r>
    </w:p>
    <w:p w:rsidR="00343C8C" w:rsidRPr="008206C6" w:rsidRDefault="00343C8C" w:rsidP="00343C8C">
      <w:pPr>
        <w:rPr>
          <w:rFonts w:cs="Calibri"/>
          <w:color w:val="000000"/>
          <w:sz w:val="24"/>
          <w:szCs w:val="24"/>
        </w:rPr>
      </w:pPr>
      <w:r w:rsidRPr="008206C6">
        <w:rPr>
          <w:rFonts w:cs="Calibri"/>
          <w:color w:val="000000"/>
          <w:sz w:val="24"/>
          <w:szCs w:val="24"/>
        </w:rPr>
        <w:t xml:space="preserve">If an inoculated trial is </w:t>
      </w:r>
      <w:r w:rsidR="006C23C6" w:rsidRPr="008206C6">
        <w:rPr>
          <w:rFonts w:cs="Calibri"/>
          <w:color w:val="000000"/>
          <w:sz w:val="24"/>
          <w:szCs w:val="24"/>
        </w:rPr>
        <w:t>performed</w:t>
      </w:r>
      <w:r w:rsidRPr="008206C6">
        <w:rPr>
          <w:rFonts w:cs="Calibri"/>
          <w:color w:val="000000"/>
          <w:sz w:val="24"/>
          <w:szCs w:val="24"/>
        </w:rPr>
        <w:t xml:space="preserve"> in a commercial greenhouse, the plant pathogenic organism and strain should already</w:t>
      </w:r>
      <w:r w:rsidR="001F01E0" w:rsidRPr="008206C6">
        <w:rPr>
          <w:rFonts w:cs="Calibri"/>
          <w:color w:val="000000"/>
          <w:sz w:val="24"/>
          <w:szCs w:val="24"/>
        </w:rPr>
        <w:t xml:space="preserve"> be</w:t>
      </w:r>
      <w:r w:rsidRPr="008206C6">
        <w:rPr>
          <w:rFonts w:cs="Calibri"/>
          <w:color w:val="000000"/>
          <w:sz w:val="24"/>
          <w:szCs w:val="24"/>
        </w:rPr>
        <w:t xml:space="preserve"> present in the commercial greenhouse (i.e.,</w:t>
      </w:r>
      <w:r w:rsidR="001F01E0" w:rsidRPr="008206C6">
        <w:rPr>
          <w:rFonts w:cs="Calibri"/>
          <w:color w:val="000000"/>
          <w:sz w:val="24"/>
          <w:szCs w:val="24"/>
        </w:rPr>
        <w:t xml:space="preserve"> the plant pathogen should have been</w:t>
      </w:r>
      <w:r w:rsidRPr="008206C6">
        <w:rPr>
          <w:rFonts w:cs="Calibri"/>
          <w:color w:val="000000"/>
          <w:sz w:val="24"/>
          <w:szCs w:val="24"/>
        </w:rPr>
        <w:t xml:space="preserve"> isolated from the trial greenhouse) and the grower should be</w:t>
      </w:r>
      <w:r w:rsidR="006C23C6" w:rsidRPr="008206C6">
        <w:rPr>
          <w:rFonts w:cs="Calibri"/>
          <w:color w:val="000000"/>
          <w:sz w:val="24"/>
          <w:szCs w:val="24"/>
        </w:rPr>
        <w:t xml:space="preserve"> made aware of</w:t>
      </w:r>
      <w:r w:rsidRPr="008206C6">
        <w:rPr>
          <w:rFonts w:cs="Calibri"/>
          <w:color w:val="000000"/>
          <w:sz w:val="24"/>
          <w:szCs w:val="24"/>
        </w:rPr>
        <w:t xml:space="preserve"> what is being introduced and how </w:t>
      </w:r>
      <w:r w:rsidR="006C23C6" w:rsidRPr="008206C6">
        <w:rPr>
          <w:rFonts w:cs="Calibri"/>
          <w:color w:val="000000"/>
          <w:sz w:val="24"/>
          <w:szCs w:val="24"/>
        </w:rPr>
        <w:t>it</w:t>
      </w:r>
      <w:r w:rsidRPr="008206C6">
        <w:rPr>
          <w:rFonts w:cs="Calibri"/>
          <w:color w:val="000000"/>
          <w:sz w:val="24"/>
          <w:szCs w:val="24"/>
        </w:rPr>
        <w:t xml:space="preserve"> will be managed.  The researcher and grower should agree on what steps will be taken to limit spread of the disease in the greenhouse and how the pathogen and the diseased crop will be removed and destroyed at the end of the trial, and the area cleaned and disinfected. </w:t>
      </w:r>
    </w:p>
    <w:p w:rsidR="00490982" w:rsidRPr="008206C6" w:rsidRDefault="00343C8C" w:rsidP="00343C8C">
      <w:pPr>
        <w:rPr>
          <w:rFonts w:cs="Calibri"/>
          <w:color w:val="000000"/>
          <w:sz w:val="24"/>
          <w:szCs w:val="24"/>
        </w:rPr>
      </w:pPr>
      <w:r w:rsidRPr="008206C6">
        <w:rPr>
          <w:rFonts w:cs="Calibri"/>
          <w:color w:val="000000"/>
          <w:sz w:val="24"/>
          <w:szCs w:val="24"/>
        </w:rPr>
        <w:t xml:space="preserve">Inoculated plant disease trials are commonly </w:t>
      </w:r>
      <w:r w:rsidR="00490982" w:rsidRPr="008206C6">
        <w:rPr>
          <w:rFonts w:cs="Calibri"/>
          <w:color w:val="000000"/>
          <w:sz w:val="24"/>
          <w:szCs w:val="24"/>
        </w:rPr>
        <w:t>conducted</w:t>
      </w:r>
      <w:r w:rsidRPr="008206C6">
        <w:rPr>
          <w:rFonts w:cs="Calibri"/>
          <w:color w:val="000000"/>
          <w:sz w:val="24"/>
          <w:szCs w:val="24"/>
        </w:rPr>
        <w:t xml:space="preserve"> in designated research greenhouses, at educational institutions, government research facilities</w:t>
      </w:r>
      <w:r w:rsidR="00490982" w:rsidRPr="008206C6">
        <w:rPr>
          <w:rFonts w:cs="Calibri"/>
          <w:color w:val="000000"/>
          <w:sz w:val="24"/>
          <w:szCs w:val="24"/>
        </w:rPr>
        <w:t>,</w:t>
      </w:r>
      <w:r w:rsidRPr="008206C6">
        <w:rPr>
          <w:rFonts w:cs="Calibri"/>
          <w:color w:val="000000"/>
          <w:sz w:val="24"/>
          <w:szCs w:val="24"/>
        </w:rPr>
        <w:t xml:space="preserve"> or private companies.  The same recommendations for field trials, above, apply to uncontained research greenhouses where the pathogen may move into the surrounding environment on air or water</w:t>
      </w:r>
      <w:r w:rsidR="00490982" w:rsidRPr="008206C6">
        <w:rPr>
          <w:rFonts w:cs="Calibri"/>
          <w:color w:val="000000"/>
          <w:sz w:val="24"/>
          <w:szCs w:val="24"/>
        </w:rPr>
        <w:t>:</w:t>
      </w:r>
    </w:p>
    <w:p w:rsidR="00490982" w:rsidRPr="00384307" w:rsidRDefault="00490982" w:rsidP="00384307">
      <w:pPr>
        <w:pStyle w:val="ListParagraph"/>
        <w:numPr>
          <w:ilvl w:val="0"/>
          <w:numId w:val="33"/>
        </w:numPr>
        <w:rPr>
          <w:rFonts w:cs="Calibri"/>
          <w:color w:val="000000"/>
          <w:sz w:val="24"/>
          <w:szCs w:val="24"/>
        </w:rPr>
      </w:pPr>
      <w:r w:rsidRPr="00384307">
        <w:rPr>
          <w:rFonts w:cs="Calibri"/>
          <w:color w:val="000000"/>
          <w:sz w:val="24"/>
          <w:szCs w:val="24"/>
        </w:rPr>
        <w:t>O</w:t>
      </w:r>
      <w:r w:rsidR="00343C8C" w:rsidRPr="00384307">
        <w:rPr>
          <w:rFonts w:cs="Calibri"/>
          <w:color w:val="000000"/>
          <w:sz w:val="24"/>
          <w:szCs w:val="24"/>
        </w:rPr>
        <w:t>nly local pathogen strains should be used</w:t>
      </w:r>
      <w:r w:rsidRPr="00384307">
        <w:rPr>
          <w:rFonts w:cs="Calibri"/>
          <w:color w:val="000000"/>
          <w:sz w:val="24"/>
          <w:szCs w:val="24"/>
        </w:rPr>
        <w:t>;</w:t>
      </w:r>
      <w:r w:rsidR="00343C8C" w:rsidRPr="00384307">
        <w:rPr>
          <w:rFonts w:cs="Calibri"/>
          <w:color w:val="000000"/>
          <w:sz w:val="24"/>
          <w:szCs w:val="24"/>
        </w:rPr>
        <w:t xml:space="preserve"> </w:t>
      </w:r>
    </w:p>
    <w:p w:rsidR="00490982" w:rsidRPr="00384307" w:rsidRDefault="004D164E" w:rsidP="00384307">
      <w:pPr>
        <w:pStyle w:val="ListParagraph"/>
        <w:numPr>
          <w:ilvl w:val="0"/>
          <w:numId w:val="33"/>
        </w:numPr>
        <w:rPr>
          <w:rFonts w:cs="Calibri"/>
          <w:color w:val="000000"/>
          <w:sz w:val="24"/>
          <w:szCs w:val="24"/>
        </w:rPr>
      </w:pPr>
      <w:r>
        <w:rPr>
          <w:rFonts w:cs="Calibri"/>
          <w:color w:val="000000"/>
          <w:sz w:val="24"/>
          <w:szCs w:val="24"/>
        </w:rPr>
        <w:t>E</w:t>
      </w:r>
      <w:r w:rsidR="00343C8C" w:rsidRPr="00384307">
        <w:rPr>
          <w:rFonts w:cs="Calibri"/>
          <w:color w:val="000000"/>
          <w:sz w:val="24"/>
          <w:szCs w:val="24"/>
        </w:rPr>
        <w:t xml:space="preserve">ntry to the </w:t>
      </w:r>
      <w:r w:rsidR="00490982" w:rsidRPr="00384307">
        <w:rPr>
          <w:rFonts w:cs="Calibri"/>
          <w:color w:val="000000"/>
          <w:sz w:val="24"/>
          <w:szCs w:val="24"/>
        </w:rPr>
        <w:t xml:space="preserve">trial area should be restricted; </w:t>
      </w:r>
    </w:p>
    <w:p w:rsidR="00490982" w:rsidRPr="00384307" w:rsidRDefault="004D164E" w:rsidP="00384307">
      <w:pPr>
        <w:pStyle w:val="ListParagraph"/>
        <w:numPr>
          <w:ilvl w:val="0"/>
          <w:numId w:val="33"/>
        </w:numPr>
        <w:rPr>
          <w:rFonts w:cs="Calibri"/>
          <w:color w:val="000000"/>
          <w:sz w:val="24"/>
          <w:szCs w:val="24"/>
        </w:rPr>
      </w:pPr>
      <w:r>
        <w:rPr>
          <w:rFonts w:cs="Calibri"/>
          <w:color w:val="000000"/>
          <w:sz w:val="24"/>
          <w:szCs w:val="24"/>
        </w:rPr>
        <w:t>B</w:t>
      </w:r>
      <w:r w:rsidR="00343C8C" w:rsidRPr="00384307">
        <w:rPr>
          <w:rFonts w:cs="Calibri"/>
          <w:color w:val="000000"/>
          <w:sz w:val="24"/>
          <w:szCs w:val="24"/>
        </w:rPr>
        <w:t>arriers</w:t>
      </w:r>
      <w:r w:rsidR="00490982" w:rsidRPr="00384307">
        <w:rPr>
          <w:rFonts w:cs="Calibri"/>
          <w:color w:val="000000"/>
          <w:sz w:val="24"/>
          <w:szCs w:val="24"/>
        </w:rPr>
        <w:t xml:space="preserve"> should be</w:t>
      </w:r>
      <w:r w:rsidR="00343C8C" w:rsidRPr="00384307">
        <w:rPr>
          <w:rFonts w:cs="Calibri"/>
          <w:color w:val="000000"/>
          <w:sz w:val="24"/>
          <w:szCs w:val="24"/>
        </w:rPr>
        <w:t xml:space="preserve"> erected, where possible, to prevent movement of inoculated pathogens to other, nearby research bays or houses</w:t>
      </w:r>
      <w:r w:rsidR="00490982" w:rsidRPr="00384307">
        <w:rPr>
          <w:rFonts w:cs="Calibri"/>
          <w:color w:val="000000"/>
          <w:sz w:val="24"/>
          <w:szCs w:val="24"/>
        </w:rPr>
        <w:t>;</w:t>
      </w:r>
      <w:r w:rsidR="00343C8C" w:rsidRPr="00384307">
        <w:rPr>
          <w:rFonts w:cs="Calibri"/>
          <w:color w:val="000000"/>
          <w:sz w:val="24"/>
          <w:szCs w:val="24"/>
        </w:rPr>
        <w:t xml:space="preserve"> </w:t>
      </w:r>
    </w:p>
    <w:p w:rsidR="00490982" w:rsidRPr="00384307" w:rsidRDefault="004D164E" w:rsidP="00384307">
      <w:pPr>
        <w:pStyle w:val="ListParagraph"/>
        <w:numPr>
          <w:ilvl w:val="0"/>
          <w:numId w:val="33"/>
        </w:numPr>
        <w:rPr>
          <w:rFonts w:cs="Calibri"/>
          <w:color w:val="000000"/>
          <w:sz w:val="24"/>
          <w:szCs w:val="24"/>
        </w:rPr>
      </w:pPr>
      <w:r>
        <w:rPr>
          <w:rFonts w:cs="Calibri"/>
          <w:color w:val="000000"/>
          <w:sz w:val="24"/>
          <w:szCs w:val="24"/>
        </w:rPr>
        <w:t>I</w:t>
      </w:r>
      <w:r w:rsidR="00343C8C" w:rsidRPr="00384307">
        <w:rPr>
          <w:rFonts w:cs="Calibri"/>
          <w:color w:val="000000"/>
          <w:sz w:val="24"/>
          <w:szCs w:val="24"/>
        </w:rPr>
        <w:t>nfected plant material</w:t>
      </w:r>
      <w:r w:rsidR="00490982" w:rsidRPr="00384307">
        <w:rPr>
          <w:rFonts w:cs="Calibri"/>
          <w:color w:val="000000"/>
          <w:sz w:val="24"/>
          <w:szCs w:val="24"/>
        </w:rPr>
        <w:t xml:space="preserve"> must be removed and properly disposed of</w:t>
      </w:r>
      <w:r w:rsidR="00343C8C" w:rsidRPr="00384307">
        <w:rPr>
          <w:rFonts w:cs="Calibri"/>
          <w:color w:val="000000"/>
          <w:sz w:val="24"/>
          <w:szCs w:val="24"/>
        </w:rPr>
        <w:t xml:space="preserve"> at the end of the trial</w:t>
      </w:r>
      <w:r w:rsidR="00490982" w:rsidRPr="00384307">
        <w:rPr>
          <w:rFonts w:cs="Calibri"/>
          <w:color w:val="000000"/>
          <w:sz w:val="24"/>
          <w:szCs w:val="24"/>
        </w:rPr>
        <w:t>;</w:t>
      </w:r>
      <w:r w:rsidR="00343C8C" w:rsidRPr="00384307">
        <w:rPr>
          <w:rFonts w:cs="Calibri"/>
          <w:color w:val="000000"/>
          <w:sz w:val="24"/>
          <w:szCs w:val="24"/>
        </w:rPr>
        <w:t xml:space="preserve"> and </w:t>
      </w:r>
    </w:p>
    <w:p w:rsidR="00343C8C" w:rsidRPr="00384307" w:rsidRDefault="004D164E" w:rsidP="00384307">
      <w:pPr>
        <w:pStyle w:val="ListParagraph"/>
        <w:numPr>
          <w:ilvl w:val="0"/>
          <w:numId w:val="33"/>
        </w:numPr>
        <w:rPr>
          <w:rFonts w:cs="Calibri"/>
          <w:color w:val="000000"/>
          <w:sz w:val="24"/>
          <w:szCs w:val="24"/>
        </w:rPr>
      </w:pPr>
      <w:r>
        <w:rPr>
          <w:rFonts w:cs="Calibri"/>
          <w:color w:val="000000"/>
          <w:sz w:val="24"/>
          <w:szCs w:val="24"/>
        </w:rPr>
        <w:t>G</w:t>
      </w:r>
      <w:r w:rsidR="00343C8C" w:rsidRPr="00384307">
        <w:rPr>
          <w:rFonts w:cs="Calibri"/>
          <w:color w:val="000000"/>
          <w:sz w:val="24"/>
          <w:szCs w:val="24"/>
        </w:rPr>
        <w:t>reenhou</w:t>
      </w:r>
      <w:r w:rsidR="00490982" w:rsidRPr="00384307">
        <w:rPr>
          <w:rFonts w:cs="Calibri"/>
          <w:color w:val="000000"/>
          <w:sz w:val="24"/>
          <w:szCs w:val="24"/>
        </w:rPr>
        <w:t xml:space="preserve">se benches and other structures (e.g., </w:t>
      </w:r>
      <w:r w:rsidR="00343C8C" w:rsidRPr="00384307">
        <w:rPr>
          <w:rFonts w:cs="Calibri"/>
          <w:color w:val="000000"/>
          <w:sz w:val="24"/>
          <w:szCs w:val="24"/>
        </w:rPr>
        <w:t>plastic or glass walls, ground cloth, or capillary mats</w:t>
      </w:r>
      <w:r w:rsidR="00490982" w:rsidRPr="00384307">
        <w:rPr>
          <w:rFonts w:cs="Calibri"/>
          <w:color w:val="000000"/>
          <w:sz w:val="24"/>
          <w:szCs w:val="24"/>
        </w:rPr>
        <w:t>) must be decontaminated at the end of the trial</w:t>
      </w:r>
      <w:r w:rsidR="00343C8C" w:rsidRPr="00384307">
        <w:rPr>
          <w:rFonts w:cs="Calibri"/>
          <w:color w:val="000000"/>
          <w:sz w:val="24"/>
          <w:szCs w:val="24"/>
        </w:rPr>
        <w:t xml:space="preserve">. </w:t>
      </w:r>
    </w:p>
    <w:p w:rsidR="00343C8C" w:rsidRPr="008206C6" w:rsidRDefault="00343C8C" w:rsidP="00343C8C">
      <w:pPr>
        <w:rPr>
          <w:rFonts w:cs="Calibri"/>
          <w:color w:val="000000"/>
          <w:sz w:val="24"/>
          <w:szCs w:val="24"/>
        </w:rPr>
      </w:pPr>
      <w:r w:rsidRPr="008206C6">
        <w:rPr>
          <w:rFonts w:cs="Calibri"/>
          <w:color w:val="000000"/>
          <w:sz w:val="24"/>
          <w:szCs w:val="24"/>
        </w:rPr>
        <w:t xml:space="preserve">In terms of </w:t>
      </w:r>
      <w:r w:rsidR="00067953">
        <w:rPr>
          <w:rFonts w:cs="Calibri"/>
          <w:color w:val="000000"/>
          <w:sz w:val="24"/>
          <w:szCs w:val="24"/>
        </w:rPr>
        <w:t>PPE</w:t>
      </w:r>
      <w:r w:rsidRPr="008206C6">
        <w:rPr>
          <w:rFonts w:cs="Calibri"/>
          <w:color w:val="000000"/>
          <w:sz w:val="24"/>
          <w:szCs w:val="24"/>
        </w:rPr>
        <w:t>, the researcher should consider that the concentration of airborne plant pathogen spores may be higher in a contained space, such as a greenhouse, than in a field situation, and thus, a higher level of PPE may be needed for personnel applying inoculum or spending a significant amount of time working in the inoculated crop, either doing crop maintenance or trial rating.</w:t>
      </w:r>
    </w:p>
    <w:p w:rsidR="00343C8C" w:rsidRPr="008206C6" w:rsidRDefault="00343C8C" w:rsidP="00343C8C">
      <w:pPr>
        <w:rPr>
          <w:rFonts w:cs="Calibri"/>
          <w:color w:val="000000"/>
          <w:sz w:val="24"/>
          <w:szCs w:val="24"/>
        </w:rPr>
      </w:pPr>
      <w:r w:rsidRPr="008206C6">
        <w:rPr>
          <w:rFonts w:cs="Calibri"/>
          <w:color w:val="000000"/>
          <w:sz w:val="24"/>
          <w:szCs w:val="24"/>
        </w:rPr>
        <w:t>Entry to the greenhouse trial should be controlled and restricted, as much as possible.</w:t>
      </w:r>
    </w:p>
    <w:p w:rsidR="00343C8C" w:rsidRPr="008206C6" w:rsidRDefault="00343C8C" w:rsidP="00343C8C">
      <w:pPr>
        <w:rPr>
          <w:rFonts w:cs="Calibri"/>
          <w:color w:val="000000"/>
          <w:sz w:val="24"/>
          <w:szCs w:val="24"/>
        </w:rPr>
      </w:pPr>
      <w:r w:rsidRPr="008206C6">
        <w:rPr>
          <w:rFonts w:cs="Calibri"/>
          <w:color w:val="000000"/>
          <w:sz w:val="24"/>
          <w:szCs w:val="24"/>
        </w:rPr>
        <w:t>Greenhouses are usually vented to the outdoors and often have fans that may move airborne pathogens and drainage systems that can move water-borne pathogens.  Local strains of common plant pathogens will already be present in the natural environment surrounding the greenhouse, but the researcher should consider where the inoculated strain may enter the outdoor environment and any potential effect on nearby crops or other research trials.</w:t>
      </w:r>
    </w:p>
    <w:p w:rsidR="007469B8" w:rsidRDefault="007469B8" w:rsidP="00AB7FA8">
      <w:pPr>
        <w:sectPr w:rsidR="007469B8">
          <w:footerReference w:type="default" r:id="rId8"/>
          <w:pgSz w:w="12240" w:h="15840"/>
          <w:pgMar w:top="1440" w:right="1440" w:bottom="1440" w:left="1440" w:header="708" w:footer="708" w:gutter="0"/>
          <w:cols w:space="708"/>
          <w:docGrid w:linePitch="360"/>
        </w:sectPr>
      </w:pPr>
    </w:p>
    <w:p w:rsidR="007469B8" w:rsidRDefault="007469B8" w:rsidP="005B4620">
      <w:pPr>
        <w:pStyle w:val="Heading1"/>
        <w:rPr>
          <w:lang w:eastAsia="en-CA"/>
        </w:rPr>
      </w:pPr>
      <w:bookmarkStart w:id="15" w:name="AppendixI"/>
      <w:bookmarkStart w:id="16" w:name="_Ref381615922"/>
      <w:bookmarkStart w:id="17" w:name="_Toc387918951"/>
      <w:bookmarkEnd w:id="15"/>
      <w:r w:rsidRPr="005B4620">
        <w:rPr>
          <w:lang w:eastAsia="en-CA"/>
        </w:rPr>
        <w:t>Appendix I. Contributors</w:t>
      </w:r>
      <w:bookmarkEnd w:id="16"/>
      <w:bookmarkEnd w:id="17"/>
    </w:p>
    <w:p w:rsidR="007469B8" w:rsidRPr="005B4620" w:rsidRDefault="007469B8" w:rsidP="005B4620">
      <w:pPr>
        <w:rPr>
          <w:lang w:eastAsia="en-CA"/>
        </w:rPr>
      </w:pPr>
    </w:p>
    <w:tbl>
      <w:tblPr>
        <w:tblW w:w="0" w:type="auto"/>
        <w:tblLook w:val="00A0" w:firstRow="1" w:lastRow="0" w:firstColumn="1" w:lastColumn="0" w:noHBand="0" w:noVBand="0"/>
      </w:tblPr>
      <w:tblGrid>
        <w:gridCol w:w="9576"/>
      </w:tblGrid>
      <w:tr w:rsidR="007469B8" w:rsidRPr="00EC66E7" w:rsidTr="00EC66E7">
        <w:tc>
          <w:tcPr>
            <w:tcW w:w="9576" w:type="dxa"/>
            <w:tcBorders>
              <w:top w:val="single" w:sz="4" w:space="0" w:color="auto"/>
              <w:bottom w:val="single" w:sz="4" w:space="0" w:color="auto"/>
            </w:tcBorders>
          </w:tcPr>
          <w:p w:rsidR="007469B8" w:rsidRPr="00EC66E7" w:rsidRDefault="007469B8" w:rsidP="00EC66E7">
            <w:pPr>
              <w:spacing w:after="0" w:line="240" w:lineRule="auto"/>
              <w:rPr>
                <w:sz w:val="24"/>
                <w:szCs w:val="24"/>
                <w:lang w:eastAsia="en-CA"/>
              </w:rPr>
            </w:pPr>
            <w:r w:rsidRPr="00EC66E7">
              <w:rPr>
                <w:sz w:val="24"/>
                <w:szCs w:val="24"/>
                <w:lang w:eastAsia="en-CA"/>
              </w:rPr>
              <w:t xml:space="preserve">Maria Trainer PhD </w:t>
            </w:r>
          </w:p>
          <w:p w:rsidR="007469B8" w:rsidRPr="00EC66E7" w:rsidRDefault="007469B8" w:rsidP="00EC66E7">
            <w:pPr>
              <w:spacing w:after="0" w:line="240" w:lineRule="auto"/>
              <w:rPr>
                <w:sz w:val="24"/>
                <w:szCs w:val="24"/>
                <w:lang w:eastAsia="en-CA"/>
              </w:rPr>
            </w:pPr>
            <w:r w:rsidRPr="00EC66E7">
              <w:rPr>
                <w:sz w:val="24"/>
                <w:szCs w:val="24"/>
                <w:lang w:eastAsia="en-CA"/>
              </w:rPr>
              <w:t xml:space="preserve">Managing Director, Regulatory Affairs. </w:t>
            </w:r>
            <w:proofErr w:type="spellStart"/>
            <w:r w:rsidRPr="00EC66E7">
              <w:rPr>
                <w:sz w:val="24"/>
                <w:szCs w:val="24"/>
                <w:lang w:eastAsia="en-CA"/>
              </w:rPr>
              <w:t>CropLife</w:t>
            </w:r>
            <w:proofErr w:type="spellEnd"/>
            <w:r w:rsidRPr="00EC66E7">
              <w:rPr>
                <w:sz w:val="24"/>
                <w:szCs w:val="24"/>
                <w:lang w:eastAsia="en-CA"/>
              </w:rPr>
              <w:t xml:space="preserve"> Canada</w:t>
            </w:r>
          </w:p>
          <w:p w:rsidR="007469B8" w:rsidRPr="00EC66E7" w:rsidRDefault="007469B8" w:rsidP="00EC66E7">
            <w:pPr>
              <w:spacing w:after="0" w:line="240" w:lineRule="auto"/>
              <w:rPr>
                <w:sz w:val="24"/>
                <w:szCs w:val="24"/>
                <w:lang w:eastAsia="en-CA"/>
              </w:rPr>
            </w:pPr>
            <w:r w:rsidRPr="00EC66E7">
              <w:rPr>
                <w:sz w:val="24"/>
                <w:szCs w:val="24"/>
                <w:lang w:eastAsia="en-CA"/>
              </w:rPr>
              <w:t>612-350 Sparks Street.</w:t>
            </w:r>
          </w:p>
          <w:p w:rsidR="007469B8" w:rsidRPr="00EC66E7" w:rsidRDefault="007469B8" w:rsidP="00EC66E7">
            <w:pPr>
              <w:spacing w:after="0" w:line="240" w:lineRule="auto"/>
              <w:rPr>
                <w:sz w:val="24"/>
                <w:szCs w:val="24"/>
                <w:lang w:eastAsia="en-CA"/>
              </w:rPr>
            </w:pPr>
            <w:r w:rsidRPr="00EC66E7">
              <w:rPr>
                <w:sz w:val="24"/>
                <w:szCs w:val="24"/>
                <w:lang w:eastAsia="en-CA"/>
              </w:rPr>
              <w:t>Ottawa ON K1R 7S8</w:t>
            </w:r>
          </w:p>
          <w:p w:rsidR="007469B8" w:rsidRPr="00EC66E7" w:rsidRDefault="007469B8" w:rsidP="00EC66E7">
            <w:pPr>
              <w:spacing w:after="0" w:line="240" w:lineRule="auto"/>
              <w:rPr>
                <w:sz w:val="24"/>
                <w:szCs w:val="24"/>
                <w:lang w:eastAsia="en-CA"/>
              </w:rPr>
            </w:pPr>
            <w:r w:rsidRPr="00EC66E7">
              <w:rPr>
                <w:sz w:val="24"/>
                <w:szCs w:val="24"/>
                <w:lang w:eastAsia="en-CA"/>
              </w:rPr>
              <w:t>trainer@croplife.ca</w:t>
            </w:r>
          </w:p>
        </w:tc>
      </w:tr>
      <w:tr w:rsidR="007469B8" w:rsidRPr="00EC66E7" w:rsidTr="00EC66E7">
        <w:tc>
          <w:tcPr>
            <w:tcW w:w="9576" w:type="dxa"/>
            <w:tcBorders>
              <w:top w:val="single" w:sz="4" w:space="0" w:color="auto"/>
              <w:bottom w:val="single" w:sz="4" w:space="0" w:color="auto"/>
            </w:tcBorders>
          </w:tcPr>
          <w:p w:rsidR="007469B8" w:rsidRPr="00EC66E7" w:rsidRDefault="007469B8" w:rsidP="00EC66E7">
            <w:pPr>
              <w:spacing w:after="0" w:line="240" w:lineRule="auto"/>
              <w:rPr>
                <w:sz w:val="24"/>
                <w:szCs w:val="24"/>
                <w:lang w:eastAsia="en-CA"/>
              </w:rPr>
            </w:pPr>
            <w:r w:rsidRPr="00EC66E7">
              <w:rPr>
                <w:sz w:val="24"/>
                <w:szCs w:val="24"/>
                <w:lang w:eastAsia="en-CA"/>
              </w:rPr>
              <w:t xml:space="preserve">Krista Anderson MSc </w:t>
            </w:r>
          </w:p>
          <w:p w:rsidR="007469B8" w:rsidRPr="00EC66E7" w:rsidRDefault="007469B8" w:rsidP="00EC66E7">
            <w:pPr>
              <w:spacing w:after="0" w:line="240" w:lineRule="auto"/>
              <w:rPr>
                <w:sz w:val="24"/>
                <w:szCs w:val="24"/>
                <w:lang w:eastAsia="en-CA"/>
              </w:rPr>
            </w:pPr>
            <w:proofErr w:type="spellStart"/>
            <w:r w:rsidRPr="00EC66E7">
              <w:rPr>
                <w:sz w:val="24"/>
                <w:szCs w:val="24"/>
                <w:lang w:eastAsia="en-CA"/>
              </w:rPr>
              <w:t>SeedGrowth</w:t>
            </w:r>
            <w:proofErr w:type="spellEnd"/>
            <w:r w:rsidRPr="00EC66E7">
              <w:rPr>
                <w:sz w:val="24"/>
                <w:szCs w:val="24"/>
                <w:lang w:eastAsia="en-CA"/>
              </w:rPr>
              <w:t xml:space="preserve"> Development Specialist, Development &amp; Licensing. Bayer </w:t>
            </w:r>
            <w:proofErr w:type="spellStart"/>
            <w:r w:rsidRPr="00EC66E7">
              <w:rPr>
                <w:sz w:val="24"/>
                <w:szCs w:val="24"/>
                <w:lang w:eastAsia="en-CA"/>
              </w:rPr>
              <w:t>CropScience</w:t>
            </w:r>
            <w:proofErr w:type="spellEnd"/>
            <w:r w:rsidRPr="00EC66E7">
              <w:rPr>
                <w:sz w:val="24"/>
                <w:szCs w:val="24"/>
                <w:lang w:eastAsia="en-CA"/>
              </w:rPr>
              <w:t xml:space="preserve"> Inc.</w:t>
            </w:r>
          </w:p>
          <w:p w:rsidR="007469B8" w:rsidRPr="00EC66E7" w:rsidRDefault="007469B8" w:rsidP="00EC66E7">
            <w:pPr>
              <w:spacing w:after="0" w:line="240" w:lineRule="auto"/>
              <w:rPr>
                <w:sz w:val="24"/>
                <w:szCs w:val="24"/>
                <w:lang w:eastAsia="en-CA"/>
              </w:rPr>
            </w:pPr>
            <w:r w:rsidRPr="00EC66E7">
              <w:rPr>
                <w:sz w:val="24"/>
                <w:szCs w:val="24"/>
                <w:lang w:eastAsia="en-CA"/>
              </w:rPr>
              <w:t>295 Henderson Drive</w:t>
            </w:r>
          </w:p>
          <w:p w:rsidR="007469B8" w:rsidRPr="00EC66E7" w:rsidRDefault="007469B8" w:rsidP="00EC66E7">
            <w:pPr>
              <w:spacing w:after="0" w:line="240" w:lineRule="auto"/>
              <w:rPr>
                <w:sz w:val="24"/>
                <w:szCs w:val="24"/>
                <w:lang w:eastAsia="en-CA"/>
              </w:rPr>
            </w:pPr>
            <w:r w:rsidRPr="00EC66E7">
              <w:rPr>
                <w:sz w:val="24"/>
                <w:szCs w:val="24"/>
                <w:lang w:eastAsia="en-CA"/>
              </w:rPr>
              <w:t>Regina, SK S4N 6C2</w:t>
            </w:r>
          </w:p>
          <w:p w:rsidR="007469B8" w:rsidRPr="00EC66E7" w:rsidRDefault="007469B8" w:rsidP="00EC66E7">
            <w:pPr>
              <w:spacing w:after="0" w:line="240" w:lineRule="auto"/>
              <w:rPr>
                <w:sz w:val="24"/>
                <w:szCs w:val="24"/>
                <w:lang w:eastAsia="en-CA"/>
              </w:rPr>
            </w:pPr>
            <w:r w:rsidRPr="00EC66E7">
              <w:rPr>
                <w:sz w:val="24"/>
                <w:szCs w:val="24"/>
                <w:lang w:eastAsia="en-CA"/>
              </w:rPr>
              <w:t xml:space="preserve">krista.anderson@bayer.com </w:t>
            </w:r>
          </w:p>
        </w:tc>
      </w:tr>
      <w:tr w:rsidR="007469B8" w:rsidRPr="00EC66E7" w:rsidTr="00EC66E7">
        <w:tc>
          <w:tcPr>
            <w:tcW w:w="9576" w:type="dxa"/>
            <w:tcBorders>
              <w:top w:val="single" w:sz="4" w:space="0" w:color="auto"/>
              <w:bottom w:val="single" w:sz="4" w:space="0" w:color="auto"/>
            </w:tcBorders>
          </w:tcPr>
          <w:p w:rsidR="007469B8" w:rsidRPr="00EC66E7" w:rsidRDefault="007469B8" w:rsidP="00EC66E7">
            <w:pPr>
              <w:spacing w:after="0" w:line="240" w:lineRule="auto"/>
              <w:rPr>
                <w:rFonts w:cs="Calibri"/>
                <w:color w:val="000000"/>
                <w:sz w:val="24"/>
                <w:szCs w:val="24"/>
                <w:lang w:eastAsia="en-CA"/>
              </w:rPr>
            </w:pPr>
            <w:r w:rsidRPr="00EC66E7">
              <w:rPr>
                <w:rFonts w:cs="Calibri"/>
                <w:color w:val="000000"/>
                <w:sz w:val="24"/>
                <w:szCs w:val="24"/>
                <w:lang w:eastAsia="en-CA"/>
              </w:rPr>
              <w:t>Lana M. Reid PhD</w:t>
            </w:r>
          </w:p>
          <w:p w:rsidR="007469B8" w:rsidRPr="00EC66E7" w:rsidRDefault="007469B8" w:rsidP="00EC66E7">
            <w:pPr>
              <w:spacing w:after="0" w:line="240" w:lineRule="auto"/>
              <w:rPr>
                <w:rFonts w:cs="Calibri"/>
                <w:color w:val="000000"/>
                <w:sz w:val="24"/>
                <w:szCs w:val="24"/>
                <w:lang w:eastAsia="en-CA"/>
              </w:rPr>
            </w:pPr>
            <w:r w:rsidRPr="00EC66E7">
              <w:rPr>
                <w:rFonts w:cs="Calibri"/>
                <w:color w:val="000000"/>
                <w:sz w:val="24"/>
                <w:szCs w:val="24"/>
                <w:lang w:eastAsia="en-CA"/>
              </w:rPr>
              <w:t xml:space="preserve">Research Scientist. Agriculture and </w:t>
            </w:r>
            <w:proofErr w:type="spellStart"/>
            <w:r w:rsidRPr="00EC66E7">
              <w:rPr>
                <w:rFonts w:cs="Calibri"/>
                <w:color w:val="000000"/>
                <w:sz w:val="24"/>
                <w:szCs w:val="24"/>
                <w:lang w:eastAsia="en-CA"/>
              </w:rPr>
              <w:t>Agri</w:t>
            </w:r>
            <w:proofErr w:type="spellEnd"/>
            <w:r w:rsidRPr="00EC66E7">
              <w:rPr>
                <w:rFonts w:cs="Calibri"/>
                <w:color w:val="000000"/>
                <w:sz w:val="24"/>
                <w:szCs w:val="24"/>
                <w:lang w:eastAsia="en-CA"/>
              </w:rPr>
              <w:t xml:space="preserve">-Food Canada. Science and Technology Branch. Eastern Cereal and Oilseed Research Centre </w:t>
            </w:r>
          </w:p>
          <w:p w:rsidR="007469B8" w:rsidRPr="00EC66E7" w:rsidRDefault="007469B8" w:rsidP="00EC66E7">
            <w:pPr>
              <w:spacing w:after="0" w:line="240" w:lineRule="auto"/>
              <w:rPr>
                <w:rFonts w:cs="Calibri"/>
                <w:color w:val="000000"/>
                <w:sz w:val="24"/>
                <w:szCs w:val="24"/>
                <w:lang w:eastAsia="en-CA"/>
              </w:rPr>
            </w:pPr>
            <w:r w:rsidRPr="00EC66E7">
              <w:rPr>
                <w:rFonts w:cs="Calibri"/>
                <w:color w:val="000000"/>
                <w:sz w:val="24"/>
                <w:szCs w:val="24"/>
                <w:lang w:eastAsia="en-CA"/>
              </w:rPr>
              <w:t>960 Avenue Carling Ave, Building 99</w:t>
            </w:r>
          </w:p>
          <w:p w:rsidR="007469B8" w:rsidRPr="00EC66E7" w:rsidRDefault="007469B8" w:rsidP="00EC66E7">
            <w:pPr>
              <w:spacing w:after="0" w:line="240" w:lineRule="auto"/>
              <w:rPr>
                <w:rFonts w:cs="Calibri"/>
                <w:color w:val="000000"/>
                <w:sz w:val="24"/>
                <w:szCs w:val="24"/>
                <w:lang w:eastAsia="en-CA"/>
              </w:rPr>
            </w:pPr>
            <w:r w:rsidRPr="00EC66E7">
              <w:rPr>
                <w:rFonts w:cs="Calibri"/>
                <w:color w:val="000000"/>
                <w:sz w:val="24"/>
                <w:szCs w:val="24"/>
                <w:lang w:eastAsia="en-CA"/>
              </w:rPr>
              <w:t>Ottawa, Ontario  K1A 0C6</w:t>
            </w:r>
          </w:p>
          <w:p w:rsidR="007469B8" w:rsidRPr="00EC66E7" w:rsidRDefault="007469B8" w:rsidP="00EC66E7">
            <w:pPr>
              <w:spacing w:after="0" w:line="240" w:lineRule="auto"/>
              <w:rPr>
                <w:sz w:val="24"/>
                <w:szCs w:val="24"/>
                <w:lang w:eastAsia="en-CA"/>
              </w:rPr>
            </w:pPr>
            <w:r w:rsidRPr="00EC66E7">
              <w:rPr>
                <w:sz w:val="24"/>
                <w:szCs w:val="24"/>
                <w:lang w:eastAsia="en-CA"/>
              </w:rPr>
              <w:t>Lana.Reid@agr.gc.ca</w:t>
            </w:r>
          </w:p>
        </w:tc>
      </w:tr>
      <w:tr w:rsidR="007469B8" w:rsidRPr="00EC66E7" w:rsidTr="00EC66E7">
        <w:tc>
          <w:tcPr>
            <w:tcW w:w="9576" w:type="dxa"/>
            <w:tcBorders>
              <w:top w:val="single" w:sz="4" w:space="0" w:color="auto"/>
              <w:bottom w:val="single" w:sz="4" w:space="0" w:color="auto"/>
            </w:tcBorders>
          </w:tcPr>
          <w:p w:rsidR="007469B8" w:rsidRPr="00EC66E7" w:rsidRDefault="007469B8" w:rsidP="00EC66E7">
            <w:pPr>
              <w:spacing w:after="0" w:line="240" w:lineRule="auto"/>
              <w:rPr>
                <w:rFonts w:cs="Calibri"/>
                <w:sz w:val="24"/>
                <w:szCs w:val="24"/>
                <w:lang w:eastAsia="en-CA"/>
              </w:rPr>
            </w:pPr>
            <w:r w:rsidRPr="00EC66E7">
              <w:rPr>
                <w:rFonts w:cs="Calibri"/>
                <w:sz w:val="24"/>
                <w:szCs w:val="24"/>
                <w:lang w:eastAsia="en-CA"/>
              </w:rPr>
              <w:t>Janice Elmhirst PhD</w:t>
            </w:r>
          </w:p>
          <w:p w:rsidR="007469B8" w:rsidRPr="00EC66E7" w:rsidRDefault="007469B8" w:rsidP="00EC66E7">
            <w:pPr>
              <w:spacing w:after="0" w:line="240" w:lineRule="auto"/>
              <w:rPr>
                <w:rFonts w:ascii="Arial" w:hAnsi="Arial" w:cs="Arial"/>
                <w:sz w:val="20"/>
                <w:szCs w:val="20"/>
                <w:lang w:eastAsia="en-CA"/>
              </w:rPr>
            </w:pPr>
            <w:r w:rsidRPr="00EC66E7">
              <w:rPr>
                <w:rFonts w:cs="Calibri"/>
                <w:sz w:val="24"/>
                <w:szCs w:val="24"/>
                <w:lang w:eastAsia="en-CA"/>
              </w:rPr>
              <w:t>President</w:t>
            </w:r>
            <w:r w:rsidR="00394B84">
              <w:rPr>
                <w:rFonts w:cs="Calibri"/>
                <w:sz w:val="24"/>
                <w:szCs w:val="24"/>
                <w:lang w:eastAsia="en-CA"/>
              </w:rPr>
              <w:t xml:space="preserve"> (2013-14)</w:t>
            </w:r>
            <w:r w:rsidRPr="00EC66E7">
              <w:rPr>
                <w:rFonts w:cs="Calibri"/>
                <w:sz w:val="24"/>
                <w:szCs w:val="24"/>
                <w:lang w:eastAsia="en-CA"/>
              </w:rPr>
              <w:t xml:space="preserve">, Canadian </w:t>
            </w:r>
            <w:proofErr w:type="spellStart"/>
            <w:r w:rsidRPr="00EC66E7">
              <w:rPr>
                <w:rFonts w:cs="Calibri"/>
                <w:sz w:val="24"/>
                <w:szCs w:val="24"/>
                <w:lang w:eastAsia="en-CA"/>
              </w:rPr>
              <w:t>Phytopathological</w:t>
            </w:r>
            <w:proofErr w:type="spellEnd"/>
            <w:r w:rsidRPr="00EC66E7">
              <w:rPr>
                <w:rFonts w:cs="Calibri"/>
                <w:sz w:val="24"/>
                <w:szCs w:val="24"/>
                <w:lang w:eastAsia="en-CA"/>
              </w:rPr>
              <w:t xml:space="preserve"> Society</w:t>
            </w:r>
            <w:r w:rsidRPr="00EC66E7">
              <w:rPr>
                <w:rFonts w:cs="Calibri"/>
                <w:sz w:val="24"/>
                <w:szCs w:val="24"/>
                <w:lang w:eastAsia="en-CA"/>
              </w:rPr>
              <w:br/>
              <w:t>Elmhirst Diagnostics &amp; Research</w:t>
            </w:r>
            <w:r w:rsidRPr="00EC66E7">
              <w:rPr>
                <w:rFonts w:cs="Calibri"/>
                <w:sz w:val="24"/>
                <w:szCs w:val="24"/>
                <w:lang w:eastAsia="en-CA"/>
              </w:rPr>
              <w:br/>
              <w:t>5727 Riverside Street</w:t>
            </w:r>
            <w:r w:rsidRPr="00EC66E7">
              <w:rPr>
                <w:rFonts w:cs="Calibri"/>
                <w:sz w:val="24"/>
                <w:szCs w:val="24"/>
                <w:lang w:eastAsia="en-CA"/>
              </w:rPr>
              <w:br/>
              <w:t>Abbotsford, BC V4X 1T6</w:t>
            </w:r>
            <w:r w:rsidRPr="00EC66E7">
              <w:rPr>
                <w:rFonts w:cs="Calibri"/>
                <w:sz w:val="24"/>
                <w:szCs w:val="24"/>
                <w:lang w:eastAsia="en-CA"/>
              </w:rPr>
              <w:br/>
              <w:t>janice.elmhirst@shaw.ca</w:t>
            </w:r>
          </w:p>
        </w:tc>
      </w:tr>
      <w:tr w:rsidR="00BD3751" w:rsidRPr="00EC66E7" w:rsidTr="00EC66E7">
        <w:tc>
          <w:tcPr>
            <w:tcW w:w="9576" w:type="dxa"/>
            <w:tcBorders>
              <w:top w:val="single" w:sz="4" w:space="0" w:color="auto"/>
              <w:bottom w:val="single" w:sz="4" w:space="0" w:color="auto"/>
            </w:tcBorders>
          </w:tcPr>
          <w:p w:rsidR="00BD3751" w:rsidRPr="00EC66E7" w:rsidRDefault="00BD3751" w:rsidP="00BD3751">
            <w:pPr>
              <w:spacing w:after="0" w:line="240" w:lineRule="auto"/>
              <w:rPr>
                <w:sz w:val="24"/>
                <w:szCs w:val="24"/>
                <w:lang w:eastAsia="en-CA"/>
              </w:rPr>
            </w:pPr>
            <w:r w:rsidRPr="00EC66E7">
              <w:rPr>
                <w:sz w:val="24"/>
                <w:szCs w:val="24"/>
                <w:lang w:eastAsia="en-CA"/>
              </w:rPr>
              <w:t xml:space="preserve">James </w:t>
            </w:r>
            <w:proofErr w:type="spellStart"/>
            <w:r w:rsidRPr="00EC66E7">
              <w:rPr>
                <w:sz w:val="24"/>
                <w:szCs w:val="24"/>
                <w:lang w:eastAsia="en-CA"/>
              </w:rPr>
              <w:t>Tansey</w:t>
            </w:r>
            <w:proofErr w:type="spellEnd"/>
            <w:r w:rsidRPr="00EC66E7">
              <w:rPr>
                <w:sz w:val="24"/>
                <w:szCs w:val="24"/>
                <w:lang w:eastAsia="en-CA"/>
              </w:rPr>
              <w:t xml:space="preserve"> PhD</w:t>
            </w:r>
            <w:r>
              <w:rPr>
                <w:rStyle w:val="FootnoteReference"/>
                <w:sz w:val="24"/>
                <w:szCs w:val="24"/>
                <w:lang w:eastAsia="en-CA"/>
              </w:rPr>
              <w:footnoteReference w:id="9"/>
            </w:r>
            <w:r w:rsidRPr="00EC66E7">
              <w:rPr>
                <w:sz w:val="24"/>
                <w:szCs w:val="24"/>
                <w:lang w:eastAsia="en-CA"/>
              </w:rPr>
              <w:t xml:space="preserve"> </w:t>
            </w:r>
          </w:p>
          <w:p w:rsidR="00BD3751" w:rsidRPr="00EC66E7" w:rsidRDefault="00BD3751" w:rsidP="00BD3751">
            <w:pPr>
              <w:spacing w:after="0" w:line="240" w:lineRule="auto"/>
              <w:rPr>
                <w:sz w:val="24"/>
                <w:szCs w:val="24"/>
                <w:lang w:eastAsia="en-CA"/>
              </w:rPr>
            </w:pPr>
            <w:r w:rsidRPr="00EC66E7">
              <w:rPr>
                <w:sz w:val="24"/>
                <w:szCs w:val="24"/>
                <w:lang w:eastAsia="en-CA"/>
              </w:rPr>
              <w:t xml:space="preserve">Regulatory Affairs Manager. Dow </w:t>
            </w:r>
            <w:proofErr w:type="spellStart"/>
            <w:r w:rsidRPr="00EC66E7">
              <w:rPr>
                <w:sz w:val="24"/>
                <w:szCs w:val="24"/>
                <w:lang w:eastAsia="en-CA"/>
              </w:rPr>
              <w:t>AgroSciences</w:t>
            </w:r>
            <w:proofErr w:type="spellEnd"/>
            <w:r w:rsidRPr="00EC66E7">
              <w:rPr>
                <w:sz w:val="24"/>
                <w:szCs w:val="24"/>
                <w:lang w:eastAsia="en-CA"/>
              </w:rPr>
              <w:t xml:space="preserve"> Canada, Inc. </w:t>
            </w:r>
          </w:p>
          <w:p w:rsidR="00BD3751" w:rsidRPr="00EC66E7" w:rsidRDefault="00BD3751" w:rsidP="00BD3751">
            <w:pPr>
              <w:spacing w:after="0" w:line="240" w:lineRule="auto"/>
              <w:rPr>
                <w:sz w:val="24"/>
                <w:szCs w:val="24"/>
                <w:lang w:eastAsia="en-CA"/>
              </w:rPr>
            </w:pPr>
            <w:r w:rsidRPr="00EC66E7">
              <w:rPr>
                <w:sz w:val="24"/>
                <w:szCs w:val="24"/>
                <w:lang w:eastAsia="en-CA"/>
              </w:rPr>
              <w:t>Suite 2100 - 450 1st Street SW</w:t>
            </w:r>
          </w:p>
          <w:p w:rsidR="00BD3751" w:rsidRPr="00EC66E7" w:rsidRDefault="00BD3751" w:rsidP="00BD3751">
            <w:pPr>
              <w:spacing w:after="0" w:line="240" w:lineRule="auto"/>
              <w:rPr>
                <w:rFonts w:cs="Calibri"/>
                <w:sz w:val="24"/>
                <w:szCs w:val="24"/>
                <w:lang w:eastAsia="en-CA"/>
              </w:rPr>
            </w:pPr>
            <w:r w:rsidRPr="00EC66E7">
              <w:rPr>
                <w:sz w:val="24"/>
                <w:szCs w:val="24"/>
                <w:lang w:val="de-DE" w:eastAsia="en-CA"/>
              </w:rPr>
              <w:t>Calgary, AB T2P 5H1</w:t>
            </w:r>
          </w:p>
        </w:tc>
      </w:tr>
    </w:tbl>
    <w:p w:rsidR="007469B8" w:rsidRPr="005B4620" w:rsidRDefault="007469B8" w:rsidP="005B4620">
      <w:pPr>
        <w:spacing w:after="0" w:line="240" w:lineRule="auto"/>
        <w:rPr>
          <w:sz w:val="28"/>
          <w:szCs w:val="28"/>
          <w:lang w:eastAsia="en-CA"/>
        </w:rPr>
      </w:pPr>
    </w:p>
    <w:p w:rsidR="007469B8" w:rsidRDefault="007469B8">
      <w:r>
        <w:br w:type="page"/>
      </w:r>
    </w:p>
    <w:p w:rsidR="007469B8" w:rsidRPr="003375DE" w:rsidRDefault="007469B8" w:rsidP="003375DE">
      <w:pPr>
        <w:pStyle w:val="Heading1"/>
      </w:pPr>
      <w:bookmarkStart w:id="18" w:name="AppendixII"/>
      <w:bookmarkStart w:id="19" w:name="_Toc387918952"/>
      <w:bookmarkEnd w:id="18"/>
      <w:r w:rsidRPr="003375DE">
        <w:t>Appendix II: Identification and Taxonomic Classification of Microorganisms</w:t>
      </w:r>
      <w:bookmarkEnd w:id="19"/>
    </w:p>
    <w:p w:rsidR="007469B8" w:rsidRPr="007D3EB2" w:rsidRDefault="007469B8" w:rsidP="003375DE">
      <w:pPr>
        <w:rPr>
          <w:rFonts w:cs="Calibri"/>
          <w:color w:val="000000"/>
          <w:sz w:val="24"/>
          <w:szCs w:val="24"/>
        </w:rPr>
      </w:pPr>
      <w:r w:rsidRPr="007D3EB2">
        <w:rPr>
          <w:rFonts w:cs="Calibri"/>
          <w:color w:val="000000"/>
          <w:sz w:val="24"/>
          <w:szCs w:val="24"/>
        </w:rPr>
        <w:t>Accurate identification and taxonomic classification of a microorganism is imperative in differentiating it from isolates that are detrimental to human health or the environment. As such, adherence to these guidelines requires a minimum of species-level identification. Where appropriate, identification to the strain level may be necessary; for example, to distinguish between closely related microorganisms with differing risk profiles. However, many environmental isolates have never been characterized in detail, therefore identification to the strain level would be challenging in many cases.</w:t>
      </w:r>
    </w:p>
    <w:p w:rsidR="007469B8" w:rsidRPr="007D3EB2" w:rsidRDefault="007469B8" w:rsidP="003375DE">
      <w:pPr>
        <w:rPr>
          <w:rFonts w:cs="Calibri"/>
          <w:color w:val="000000"/>
          <w:sz w:val="24"/>
          <w:szCs w:val="24"/>
        </w:rPr>
      </w:pPr>
      <w:r w:rsidRPr="007D3EB2">
        <w:rPr>
          <w:rFonts w:cs="Calibri"/>
          <w:color w:val="000000"/>
          <w:sz w:val="24"/>
          <w:szCs w:val="24"/>
        </w:rPr>
        <w:t xml:space="preserve">The choice of appropriate method for identification is at the discretion of the field trial manager. This appendix is intended to provide a high-level summary of the various tools available for identification; researchers are encouraged to consider the strengths and weaknesses of each approach and to adopt methods that result in a conclusive and definitive identification of the microorganism and that allow for clear differentiation of the organism from any closely related pathogenic and/or toxigenic species or (where appropriate) strains. </w:t>
      </w:r>
    </w:p>
    <w:p w:rsidR="007469B8" w:rsidRPr="007D3EB2" w:rsidRDefault="007469B8" w:rsidP="003375DE">
      <w:pPr>
        <w:rPr>
          <w:rFonts w:cs="Calibri"/>
          <w:color w:val="000000"/>
          <w:sz w:val="24"/>
          <w:szCs w:val="24"/>
        </w:rPr>
      </w:pPr>
      <w:r w:rsidRPr="007D3EB2">
        <w:rPr>
          <w:rFonts w:cs="Calibri"/>
          <w:color w:val="000000"/>
          <w:sz w:val="24"/>
          <w:szCs w:val="24"/>
        </w:rPr>
        <w:t xml:space="preserve">Researchers should ensure that the method used is accurately recorded and that the data to support the identification are readily available.  </w:t>
      </w:r>
    </w:p>
    <w:p w:rsidR="007469B8" w:rsidRDefault="007469B8" w:rsidP="003375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7469B8" w:rsidRPr="00EC66E7" w:rsidTr="00EC66E7">
        <w:tc>
          <w:tcPr>
            <w:tcW w:w="2394" w:type="dxa"/>
          </w:tcPr>
          <w:p w:rsidR="007469B8" w:rsidRPr="00EC66E7" w:rsidRDefault="007469B8" w:rsidP="00EC66E7">
            <w:pPr>
              <w:spacing w:after="0" w:line="240" w:lineRule="auto"/>
              <w:rPr>
                <w:rFonts w:cs="Calibri"/>
                <w:b/>
                <w:color w:val="000000"/>
                <w:sz w:val="24"/>
                <w:szCs w:val="24"/>
              </w:rPr>
            </w:pPr>
            <w:r w:rsidRPr="00EC66E7">
              <w:rPr>
                <w:rFonts w:cs="Calibri"/>
                <w:b/>
                <w:color w:val="000000"/>
                <w:sz w:val="24"/>
                <w:szCs w:val="24"/>
              </w:rPr>
              <w:t>Approaches</w:t>
            </w:r>
          </w:p>
        </w:tc>
        <w:tc>
          <w:tcPr>
            <w:tcW w:w="2394" w:type="dxa"/>
          </w:tcPr>
          <w:p w:rsidR="007469B8" w:rsidRPr="00EC66E7" w:rsidRDefault="007469B8" w:rsidP="00EC66E7">
            <w:pPr>
              <w:spacing w:after="0" w:line="240" w:lineRule="auto"/>
              <w:rPr>
                <w:rFonts w:cs="Calibri"/>
                <w:b/>
                <w:color w:val="000000"/>
                <w:sz w:val="24"/>
                <w:szCs w:val="24"/>
              </w:rPr>
            </w:pPr>
          </w:p>
        </w:tc>
        <w:tc>
          <w:tcPr>
            <w:tcW w:w="2394" w:type="dxa"/>
          </w:tcPr>
          <w:p w:rsidR="007469B8" w:rsidRPr="00EC66E7" w:rsidRDefault="007469B8" w:rsidP="00EC66E7">
            <w:pPr>
              <w:spacing w:after="0" w:line="240" w:lineRule="auto"/>
              <w:rPr>
                <w:rFonts w:cs="Calibri"/>
                <w:b/>
                <w:color w:val="000000"/>
                <w:sz w:val="24"/>
                <w:szCs w:val="24"/>
              </w:rPr>
            </w:pPr>
            <w:r w:rsidRPr="00EC66E7">
              <w:rPr>
                <w:rFonts w:cs="Calibri"/>
                <w:b/>
                <w:color w:val="000000"/>
                <w:sz w:val="24"/>
                <w:szCs w:val="24"/>
              </w:rPr>
              <w:t>Examples</w:t>
            </w:r>
          </w:p>
        </w:tc>
        <w:tc>
          <w:tcPr>
            <w:tcW w:w="2394" w:type="dxa"/>
          </w:tcPr>
          <w:p w:rsidR="007469B8" w:rsidRPr="00EC66E7" w:rsidRDefault="007469B8" w:rsidP="00EC66E7">
            <w:pPr>
              <w:spacing w:after="0" w:line="240" w:lineRule="auto"/>
            </w:pPr>
            <w:r w:rsidRPr="00EC66E7">
              <w:rPr>
                <w:rFonts w:cs="Calibri"/>
                <w:b/>
                <w:color w:val="000000"/>
                <w:sz w:val="24"/>
                <w:szCs w:val="24"/>
              </w:rPr>
              <w:t>Representative references</w:t>
            </w:r>
          </w:p>
        </w:tc>
      </w:tr>
      <w:tr w:rsidR="0060389D" w:rsidRPr="00EC66E7" w:rsidTr="00EC66E7">
        <w:tc>
          <w:tcPr>
            <w:tcW w:w="2394" w:type="dxa"/>
            <w:vMerge w:val="restart"/>
          </w:tcPr>
          <w:p w:rsidR="0060389D" w:rsidRPr="00EC66E7" w:rsidRDefault="0060389D" w:rsidP="00EC66E7">
            <w:pPr>
              <w:spacing w:after="0" w:line="240" w:lineRule="auto"/>
              <w:rPr>
                <w:rFonts w:cs="Calibri"/>
                <w:color w:val="000000"/>
              </w:rPr>
            </w:pPr>
            <w:r w:rsidRPr="00EC66E7">
              <w:rPr>
                <w:rFonts w:cs="Calibri"/>
                <w:color w:val="000000"/>
              </w:rPr>
              <w:t>Molecular/Genotypic Approaches</w:t>
            </w:r>
          </w:p>
        </w:tc>
        <w:tc>
          <w:tcPr>
            <w:tcW w:w="2394" w:type="dxa"/>
            <w:vMerge w:val="restart"/>
          </w:tcPr>
          <w:p w:rsidR="0060389D" w:rsidRPr="00EC66E7" w:rsidRDefault="0060389D" w:rsidP="00EC66E7">
            <w:pPr>
              <w:spacing w:after="0" w:line="240" w:lineRule="auto"/>
              <w:rPr>
                <w:rFonts w:cs="Calibri"/>
                <w:color w:val="000000"/>
              </w:rPr>
            </w:pPr>
            <w:r w:rsidRPr="00EC66E7">
              <w:rPr>
                <w:rFonts w:cs="Calibri"/>
                <w:color w:val="000000"/>
              </w:rPr>
              <w:t>Genotypic</w:t>
            </w:r>
          </w:p>
        </w:tc>
        <w:tc>
          <w:tcPr>
            <w:tcW w:w="2394" w:type="dxa"/>
          </w:tcPr>
          <w:p w:rsidR="0060389D" w:rsidRPr="00EC66E7" w:rsidRDefault="0060389D" w:rsidP="00EC66E7">
            <w:pPr>
              <w:spacing w:after="0" w:line="240" w:lineRule="auto"/>
              <w:rPr>
                <w:rFonts w:cs="Calibri"/>
                <w:color w:val="000000"/>
              </w:rPr>
            </w:pPr>
            <w:r w:rsidRPr="00EC66E7">
              <w:rPr>
                <w:rFonts w:cs="Calibri"/>
                <w:color w:val="000000"/>
              </w:rPr>
              <w:t xml:space="preserve">16S </w:t>
            </w:r>
            <w:proofErr w:type="spellStart"/>
            <w:r w:rsidRPr="00EC66E7">
              <w:rPr>
                <w:rFonts w:cs="Calibri"/>
                <w:color w:val="000000"/>
              </w:rPr>
              <w:t>rRNA</w:t>
            </w:r>
            <w:proofErr w:type="spellEnd"/>
            <w:r w:rsidRPr="00EC66E7">
              <w:rPr>
                <w:rFonts w:cs="Calibri"/>
                <w:color w:val="000000"/>
              </w:rPr>
              <w:t xml:space="preserve"> sequencing</w:t>
            </w:r>
          </w:p>
        </w:tc>
        <w:tc>
          <w:tcPr>
            <w:tcW w:w="2394" w:type="dxa"/>
          </w:tcPr>
          <w:p w:rsidR="0060389D" w:rsidRPr="00EC66E7" w:rsidRDefault="0060389D" w:rsidP="002223E5">
            <w:pPr>
              <w:spacing w:after="0" w:line="240" w:lineRule="auto"/>
            </w:pPr>
            <w:r w:rsidRPr="00EC66E7">
              <w:fldChar w:fldCharType="begin"/>
            </w:r>
            <w:r w:rsidR="000E2BFA">
              <w:instrText xml:space="preserve"> ADDIN EN.CITE &lt;EndNote&gt;&lt;Cite&gt;&lt;Author&gt;Janda&lt;/Author&gt;&lt;Year&gt;2007&lt;/Year&gt;&lt;RecNum&gt;1316&lt;/RecNum&gt;&lt;DisplayText&gt;[19]&lt;/DisplayText&gt;&lt;record&gt;&lt;rec-number&gt;1316&lt;/rec-number&gt;&lt;foreign-keys&gt;&lt;key app="EN" db-id="arwppdvwa5a2xue5ttppdv2o25d0evt5rrav"&gt;1316&lt;/key&gt;&lt;/foreign-keys&gt;&lt;ref-type name="Journal Article"&gt;17&lt;/ref-type&gt;&lt;contributors&gt;&lt;authors&gt;&lt;author&gt;Janda, J.M.&lt;/author&gt;&lt;author&gt;Abbott, S.L.&lt;/author&gt;&lt;/authors&gt;&lt;/contributors&gt;&lt;titles&gt;&lt;title&gt;16S rRNA gene sequencing for bacterial identification in the diagnostic laboratory: pluses, perils, and pitfalls&lt;/title&gt;&lt;secondary-title&gt;Journal of clinical microbiology&lt;/secondary-title&gt;&lt;/titles&gt;&lt;periodical&gt;&lt;full-title&gt;Journal of clinical microbiology&lt;/full-title&gt;&lt;/periodical&gt;&lt;pages&gt;2761-2764&lt;/pages&gt;&lt;volume&gt;45&lt;/volume&gt;&lt;number&gt;9&lt;/number&gt;&lt;dates&gt;&lt;year&gt;2007&lt;/year&gt;&lt;/dates&gt;&lt;isbn&gt;0095-1137&lt;/isbn&gt;&lt;urls&gt;&lt;related-urls&gt;&lt;url&gt;http://blog.cca.ufscar.br/lamam/files/2010/07/artigo-16S-bacteria-revis%C3%A3o.pdf&lt;/url&gt;&lt;/related-urls&gt;&lt;/urls&gt;&lt;/record&gt;&lt;/Cite&gt;&lt;/EndNote&gt;</w:instrText>
            </w:r>
            <w:r w:rsidRPr="00EC66E7">
              <w:fldChar w:fldCharType="separate"/>
            </w:r>
            <w:r w:rsidR="000E2BFA">
              <w:rPr>
                <w:noProof/>
              </w:rPr>
              <w:t>[</w:t>
            </w:r>
            <w:hyperlink w:anchor="_ENREF_19" w:tooltip="Janda, 2007 #1316" w:history="1">
              <w:r w:rsidR="002223E5">
                <w:rPr>
                  <w:noProof/>
                </w:rPr>
                <w:t>19</w:t>
              </w:r>
            </w:hyperlink>
            <w:r w:rsidR="000E2BFA">
              <w:rPr>
                <w:noProof/>
              </w:rPr>
              <w:t>]</w:t>
            </w:r>
            <w:r w:rsidRPr="00EC66E7">
              <w:fldChar w:fldCharType="end"/>
            </w:r>
          </w:p>
        </w:tc>
      </w:tr>
      <w:tr w:rsidR="0060389D" w:rsidRPr="00EC66E7" w:rsidTr="00EC66E7">
        <w:tc>
          <w:tcPr>
            <w:tcW w:w="2394" w:type="dxa"/>
            <w:vMerge/>
          </w:tcPr>
          <w:p w:rsidR="0060389D" w:rsidRPr="00EC66E7" w:rsidRDefault="0060389D" w:rsidP="00EC66E7">
            <w:pPr>
              <w:spacing w:after="0" w:line="240" w:lineRule="auto"/>
              <w:rPr>
                <w:rFonts w:cs="Calibri"/>
                <w:color w:val="000000"/>
              </w:rPr>
            </w:pPr>
          </w:p>
        </w:tc>
        <w:tc>
          <w:tcPr>
            <w:tcW w:w="2394" w:type="dxa"/>
            <w:vMerge/>
          </w:tcPr>
          <w:p w:rsidR="0060389D" w:rsidRPr="00EC66E7" w:rsidRDefault="0060389D" w:rsidP="00EC66E7">
            <w:pPr>
              <w:spacing w:after="0" w:line="240" w:lineRule="auto"/>
              <w:rPr>
                <w:rFonts w:cs="Calibri"/>
                <w:color w:val="000000"/>
              </w:rPr>
            </w:pPr>
          </w:p>
        </w:tc>
        <w:tc>
          <w:tcPr>
            <w:tcW w:w="2394" w:type="dxa"/>
          </w:tcPr>
          <w:p w:rsidR="0060389D" w:rsidRPr="00EC66E7" w:rsidRDefault="0060389D" w:rsidP="00EC66E7">
            <w:pPr>
              <w:spacing w:after="0" w:line="240" w:lineRule="auto"/>
              <w:rPr>
                <w:rFonts w:cs="Calibri"/>
                <w:color w:val="000000"/>
              </w:rPr>
            </w:pPr>
            <w:proofErr w:type="spellStart"/>
            <w:r w:rsidRPr="00EC66E7">
              <w:rPr>
                <w:rFonts w:cs="Calibri"/>
                <w:color w:val="000000"/>
              </w:rPr>
              <w:t>Ribotyping</w:t>
            </w:r>
            <w:proofErr w:type="spellEnd"/>
          </w:p>
        </w:tc>
        <w:tc>
          <w:tcPr>
            <w:tcW w:w="2394" w:type="dxa"/>
          </w:tcPr>
          <w:p w:rsidR="0060389D" w:rsidRPr="00EC66E7" w:rsidRDefault="0060389D" w:rsidP="002223E5">
            <w:pPr>
              <w:spacing w:after="0" w:line="240" w:lineRule="auto"/>
            </w:pPr>
            <w:r w:rsidRPr="00EC66E7">
              <w:fldChar w:fldCharType="begin"/>
            </w:r>
            <w:r w:rsidR="000E2BFA">
              <w:instrText xml:space="preserve"> ADDIN EN.CITE &lt;EndNote&gt;&lt;Cite&gt;&lt;Author&gt;Brisse&lt;/Author&gt;&lt;Year&gt;2000&lt;/Year&gt;&lt;RecNum&gt;1317&lt;/RecNum&gt;&lt;DisplayText&gt;[20]&lt;/DisplayText&gt;&lt;record&gt;&lt;rec-number&gt;1317&lt;/rec-number&gt;&lt;foreign-keys&gt;&lt;key app="EN" db-id="arwppdvwa5a2xue5ttppdv2o25d0evt5rrav"&gt;1317&lt;/key&gt;&lt;/foreign-keys&gt;&lt;ref-type name="Journal Article"&gt;17&lt;/ref-type&gt;&lt;contributors&gt;&lt;authors&gt;&lt;author&gt;Brisse, S.&lt;/author&gt;&lt;author&gt;Verduin, C.M.&lt;/author&gt;&lt;author&gt;Milatovic, D.&lt;/author&gt;&lt;author&gt;Fluit, A.&lt;/author&gt;&lt;author&gt;Verhoef, J.&lt;/author&gt;&lt;author&gt;Laevens, S.&lt;/author&gt;&lt;author&gt;Vandamme, P.&lt;/author&gt;&lt;author&gt;Tümmler, B.&lt;/author&gt;&lt;author&gt;Verbrugh, H.A.&lt;/author&gt;&lt;author&gt;van Belkum, A.&lt;/author&gt;&lt;/authors&gt;&lt;/contributors&gt;&lt;titles&gt;&lt;title&gt;Distinguishing species of the Burkholderia cepacia complex and Burkholderia gladioli by automated ribotyping&lt;/title&gt;&lt;secondary-title&gt;Journal of clinical microbiology&lt;/secondary-title&gt;&lt;/titles&gt;&lt;periodical&gt;&lt;full-title&gt;Journal of clinical microbiology&lt;/full-title&gt;&lt;/periodical&gt;&lt;pages&gt;1876-1884&lt;/pages&gt;&lt;volume&gt;38&lt;/volume&gt;&lt;number&gt;5&lt;/number&gt;&lt;dates&gt;&lt;year&gt;2000&lt;/year&gt;&lt;/dates&gt;&lt;isbn&gt;0095-1137&lt;/isbn&gt;&lt;urls&gt;&lt;/urls&gt;&lt;/record&gt;&lt;/Cite&gt;&lt;/EndNote&gt;</w:instrText>
            </w:r>
            <w:r w:rsidRPr="00EC66E7">
              <w:fldChar w:fldCharType="separate"/>
            </w:r>
            <w:r w:rsidR="000E2BFA">
              <w:rPr>
                <w:noProof/>
              </w:rPr>
              <w:t>[</w:t>
            </w:r>
            <w:hyperlink w:anchor="_ENREF_20" w:tooltip="Brisse, 2000 #1317" w:history="1">
              <w:r w:rsidR="002223E5">
                <w:rPr>
                  <w:noProof/>
                </w:rPr>
                <w:t>20</w:t>
              </w:r>
            </w:hyperlink>
            <w:r w:rsidR="000E2BFA">
              <w:rPr>
                <w:noProof/>
              </w:rPr>
              <w:t>]</w:t>
            </w:r>
            <w:r w:rsidRPr="00EC66E7">
              <w:fldChar w:fldCharType="end"/>
            </w:r>
          </w:p>
        </w:tc>
      </w:tr>
      <w:tr w:rsidR="0060389D" w:rsidRPr="00EC66E7" w:rsidTr="009449CC">
        <w:trPr>
          <w:trHeight w:val="270"/>
        </w:trPr>
        <w:tc>
          <w:tcPr>
            <w:tcW w:w="2394" w:type="dxa"/>
            <w:vMerge/>
          </w:tcPr>
          <w:p w:rsidR="0060389D" w:rsidRPr="00EC66E7" w:rsidRDefault="0060389D" w:rsidP="00EC66E7">
            <w:pPr>
              <w:spacing w:after="0" w:line="240" w:lineRule="auto"/>
              <w:rPr>
                <w:rFonts w:cs="Calibri"/>
                <w:color w:val="000000"/>
              </w:rPr>
            </w:pPr>
          </w:p>
        </w:tc>
        <w:tc>
          <w:tcPr>
            <w:tcW w:w="2394" w:type="dxa"/>
            <w:vMerge/>
          </w:tcPr>
          <w:p w:rsidR="0060389D" w:rsidRPr="00EC66E7" w:rsidRDefault="0060389D" w:rsidP="00EC66E7">
            <w:pPr>
              <w:spacing w:after="0" w:line="240" w:lineRule="auto"/>
              <w:rPr>
                <w:rFonts w:cs="Calibri"/>
                <w:color w:val="000000"/>
              </w:rPr>
            </w:pPr>
          </w:p>
        </w:tc>
        <w:tc>
          <w:tcPr>
            <w:tcW w:w="2394" w:type="dxa"/>
          </w:tcPr>
          <w:p w:rsidR="0060389D" w:rsidRPr="00EC66E7" w:rsidRDefault="0060389D" w:rsidP="00EC66E7">
            <w:pPr>
              <w:spacing w:after="0" w:line="240" w:lineRule="auto"/>
              <w:rPr>
                <w:rFonts w:cs="Calibri"/>
                <w:color w:val="000000"/>
              </w:rPr>
            </w:pPr>
            <w:r w:rsidRPr="00EC66E7">
              <w:rPr>
                <w:rFonts w:cs="Calibri"/>
                <w:color w:val="000000"/>
              </w:rPr>
              <w:t>rep-PCR (DNA barcode)</w:t>
            </w:r>
          </w:p>
        </w:tc>
        <w:tc>
          <w:tcPr>
            <w:tcW w:w="2394" w:type="dxa"/>
          </w:tcPr>
          <w:p w:rsidR="0060389D" w:rsidRPr="00EC66E7" w:rsidRDefault="0060389D" w:rsidP="002223E5">
            <w:pPr>
              <w:spacing w:after="0" w:line="240" w:lineRule="auto"/>
            </w:pPr>
            <w:r w:rsidRPr="00EC66E7">
              <w:fldChar w:fldCharType="begin"/>
            </w:r>
            <w:r w:rsidR="000E2BFA">
              <w:instrText xml:space="preserve"> ADDIN EN.CITE &lt;EndNote&gt;&lt;Cite&gt;&lt;Author&gt;Healy&lt;/Author&gt;&lt;Year&gt;2005&lt;/Year&gt;&lt;RecNum&gt;1318&lt;/RecNum&gt;&lt;DisplayText&gt;[21, 22]&lt;/DisplayText&gt;&lt;record&gt;&lt;rec-number&gt;1318&lt;/rec-number&gt;&lt;foreign-keys&gt;&lt;key app="EN" db-id="arwppdvwa5a2xue5ttppdv2o25d0evt5rrav"&gt;1318&lt;/key&gt;&lt;/foreign-keys&gt;&lt;ref-type name="Journal Article"&gt;17&lt;/ref-type&gt;&lt;contributors&gt;&lt;authors&gt;&lt;author&gt;Healy, M.&lt;/author&gt;&lt;author&gt;Huong, J.&lt;/author&gt;&lt;author&gt;Bittner, T.&lt;/author&gt;&lt;author&gt;Lising, M.&lt;/author&gt;&lt;author&gt;Frye, S.&lt;/author&gt;&lt;author&gt;Raza, S.&lt;/author&gt;&lt;author&gt;Schrock, R.&lt;/author&gt;&lt;author&gt;Manry, J.&lt;/author&gt;&lt;author&gt;Renwick, A.&lt;/author&gt;&lt;author&gt;Nieto, R.&lt;/author&gt;&lt;/authors&gt;&lt;/contributors&gt;&lt;titles&gt;&lt;title&gt;Microbial DNA typing by automated repetitive-sequence-based PCR&lt;/title&gt;&lt;secondary-title&gt;Journal of clinical microbiology&lt;/secondary-title&gt;&lt;/titles&gt;&lt;periodical&gt;&lt;full-title&gt;Journal of clinical microbiology&lt;/full-title&gt;&lt;/periodical&gt;&lt;pages&gt;199-207&lt;/pages&gt;&lt;volume&gt;43&lt;/volume&gt;&lt;number&gt;1&lt;/number&gt;&lt;dates&gt;&lt;year&gt;2005&lt;/year&gt;&lt;/dates&gt;&lt;isbn&gt;0095-1137&lt;/isbn&gt;&lt;urls&gt;&lt;/urls&gt;&lt;/record&gt;&lt;/Cite&gt;&lt;Cite&gt;&lt;Author&gt;Mitchell&lt;/Author&gt;&lt;Year&gt;2008&lt;/Year&gt;&lt;RecNum&gt;546&lt;/RecNum&gt;&lt;record&gt;&lt;rec-number&gt;546&lt;/rec-number&gt;&lt;foreign-keys&gt;&lt;key app="EN" db-id="arwppdvwa5a2xue5ttppdv2o25d0evt5rrav"&gt;546&lt;/key&gt;&lt;/foreign-keys&gt;&lt;ref-type name="Journal Article"&gt;17&lt;/ref-type&gt;&lt;contributors&gt;&lt;authors&gt;&lt;author&gt;Mitchell, A.&lt;/author&gt;&lt;/authors&gt;&lt;/contributors&gt;&lt;titles&gt;&lt;title&gt;DNA barcoding demystified&lt;/title&gt;&lt;secondary-title&gt;Australian Journal of Entomology&lt;/secondary-title&gt;&lt;/titles&gt;&lt;periodical&gt;&lt;full-title&gt;Australian Journal of Entomology&lt;/full-title&gt;&lt;/periodical&gt;&lt;pages&gt;169-173&lt;/pages&gt;&lt;volume&gt;47&lt;/volume&gt;&lt;number&gt;3&lt;/number&gt;&lt;keywords&gt;&lt;keyword&gt;barcode&lt;/keyword&gt;&lt;keyword&gt;DNA taxonomy&lt;/keyword&gt;&lt;keyword&gt;molecular diagnostics&lt;/keyword&gt;&lt;/keywords&gt;&lt;dates&gt;&lt;year&gt;2008&lt;/year&gt;&lt;/dates&gt;&lt;publisher&gt;Blackwell Publishing Asia&lt;/publisher&gt;&lt;isbn&gt;1440-6055&lt;/isbn&gt;&lt;urls&gt;&lt;related-urls&gt;&lt;url&gt;http://dx.doi.org/10.1111/j.1440-6055.2008.00645.x&lt;/url&gt;&lt;/related-urls&gt;&lt;/urls&gt;&lt;electronic-resource-num&gt;10.1111/j.1440-6055.2008.00645.x&lt;/electronic-resource-num&gt;&lt;/record&gt;&lt;/Cite&gt;&lt;/EndNote&gt;</w:instrText>
            </w:r>
            <w:r w:rsidRPr="00EC66E7">
              <w:fldChar w:fldCharType="separate"/>
            </w:r>
            <w:r w:rsidR="000E2BFA">
              <w:rPr>
                <w:noProof/>
              </w:rPr>
              <w:t>[</w:t>
            </w:r>
            <w:hyperlink w:anchor="_ENREF_21" w:tooltip="Healy, 2005 #1318" w:history="1">
              <w:r w:rsidR="002223E5">
                <w:rPr>
                  <w:noProof/>
                </w:rPr>
                <w:t>21</w:t>
              </w:r>
            </w:hyperlink>
            <w:r w:rsidR="000E2BFA">
              <w:rPr>
                <w:noProof/>
              </w:rPr>
              <w:t xml:space="preserve">, </w:t>
            </w:r>
            <w:hyperlink w:anchor="_ENREF_22" w:tooltip="Mitchell, 2008 #546" w:history="1">
              <w:r w:rsidR="002223E5">
                <w:rPr>
                  <w:noProof/>
                </w:rPr>
                <w:t>22</w:t>
              </w:r>
            </w:hyperlink>
            <w:r w:rsidR="000E2BFA">
              <w:rPr>
                <w:noProof/>
              </w:rPr>
              <w:t>]</w:t>
            </w:r>
            <w:r w:rsidRPr="00EC66E7">
              <w:fldChar w:fldCharType="end"/>
            </w:r>
          </w:p>
        </w:tc>
      </w:tr>
      <w:tr w:rsidR="0060389D" w:rsidRPr="007469B8" w:rsidTr="009449CC">
        <w:trPr>
          <w:trHeight w:val="270"/>
        </w:trPr>
        <w:tc>
          <w:tcPr>
            <w:tcW w:w="2394" w:type="dxa"/>
            <w:vMerge/>
          </w:tcPr>
          <w:p w:rsidR="0060389D" w:rsidRPr="00EC66E7" w:rsidRDefault="0060389D" w:rsidP="00EC66E7">
            <w:pPr>
              <w:spacing w:after="0" w:line="240" w:lineRule="auto"/>
              <w:rPr>
                <w:rFonts w:cs="Calibri"/>
                <w:color w:val="000000"/>
              </w:rPr>
            </w:pPr>
          </w:p>
        </w:tc>
        <w:tc>
          <w:tcPr>
            <w:tcW w:w="2394" w:type="dxa"/>
            <w:vMerge/>
          </w:tcPr>
          <w:p w:rsidR="0060389D" w:rsidRPr="00EC66E7" w:rsidRDefault="0060389D" w:rsidP="00EC66E7">
            <w:pPr>
              <w:spacing w:after="0" w:line="240" w:lineRule="auto"/>
              <w:rPr>
                <w:rFonts w:cs="Calibri"/>
                <w:color w:val="000000"/>
              </w:rPr>
            </w:pPr>
          </w:p>
        </w:tc>
        <w:tc>
          <w:tcPr>
            <w:tcW w:w="2394" w:type="dxa"/>
          </w:tcPr>
          <w:p w:rsidR="0060389D" w:rsidRPr="00EC66E7" w:rsidRDefault="0060389D" w:rsidP="00EC66E7">
            <w:pPr>
              <w:spacing w:after="0" w:line="240" w:lineRule="auto"/>
              <w:rPr>
                <w:rFonts w:cs="Calibri"/>
                <w:color w:val="000000"/>
              </w:rPr>
            </w:pPr>
            <w:r>
              <w:rPr>
                <w:rFonts w:cs="Calibri"/>
                <w:color w:val="000000"/>
              </w:rPr>
              <w:t>Internal Transcribed Spacer (ITS) sequencing</w:t>
            </w:r>
          </w:p>
        </w:tc>
        <w:tc>
          <w:tcPr>
            <w:tcW w:w="2394" w:type="dxa"/>
          </w:tcPr>
          <w:p w:rsidR="0060389D" w:rsidRPr="008F2525" w:rsidRDefault="0060389D" w:rsidP="002223E5">
            <w:pPr>
              <w:spacing w:after="0" w:line="240" w:lineRule="auto"/>
              <w:rPr>
                <w:lang w:val="da-DK"/>
              </w:rPr>
            </w:pPr>
            <w:r>
              <w:rPr>
                <w:lang w:val="da-DK"/>
              </w:rPr>
              <w:fldChar w:fldCharType="begin"/>
            </w:r>
            <w:r w:rsidR="000E2BFA">
              <w:rPr>
                <w:lang w:val="da-DK"/>
              </w:rPr>
              <w:instrText xml:space="preserve"> ADDIN EN.CITE &lt;EndNote&gt;&lt;Cite&gt;&lt;Author&gt;Iwen&lt;/Author&gt;&lt;Year&gt;2002&lt;/Year&gt;&lt;RecNum&gt;1357&lt;/RecNum&gt;&lt;Prefix&gt;reviewed in &lt;/Prefix&gt;&lt;DisplayText&gt;[reviewed in 23]&lt;/DisplayText&gt;&lt;record&gt;&lt;rec-number&gt;1357&lt;/rec-number&gt;&lt;foreign-keys&gt;&lt;key app="EN" db-id="arwppdvwa5a2xue5ttppdv2o25d0evt5rrav"&gt;1357&lt;/key&gt;&lt;/foreign-keys&gt;&lt;ref-type name="Journal Article"&gt;17&lt;/ref-type&gt;&lt;contributors&gt;&lt;authors&gt;&lt;author&gt;Iwen, P.C.&lt;/author&gt;&lt;author&gt;Hinrichs, S.H.&lt;/author&gt;&lt;author&gt;Rupp, M.E.&lt;/author&gt;&lt;/authors&gt;&lt;/contributors&gt;&lt;titles&gt;&lt;title&gt;Utilization of the internal transcribed spacer regions as molecular targets to detect and identify human fungal pathogens&lt;/title&gt;&lt;secondary-title&gt;Medical Mycology&lt;/secondary-title&gt;&lt;/titles&gt;&lt;periodical&gt;&lt;full-title&gt;Medical Mycology&lt;/full-title&gt;&lt;/periodical&gt;&lt;pages&gt;87-109&lt;/pages&gt;&lt;volume&gt;40&lt;/volume&gt;&lt;number&gt;1&lt;/number&gt;&lt;dates&gt;&lt;year&gt;2002&lt;/year&gt;&lt;/dates&gt;&lt;isbn&gt;1460-2709&lt;/isbn&gt;&lt;urls&gt;&lt;/urls&gt;&lt;/record&gt;&lt;/Cite&gt;&lt;/EndNote&gt;</w:instrText>
            </w:r>
            <w:r>
              <w:rPr>
                <w:lang w:val="da-DK"/>
              </w:rPr>
              <w:fldChar w:fldCharType="separate"/>
            </w:r>
            <w:r w:rsidR="000E2BFA">
              <w:rPr>
                <w:noProof/>
                <w:lang w:val="da-DK"/>
              </w:rPr>
              <w:t>[</w:t>
            </w:r>
            <w:hyperlink w:anchor="_ENREF_23" w:tooltip="Iwen, 2002 #1357" w:history="1">
              <w:r w:rsidR="002223E5">
                <w:rPr>
                  <w:noProof/>
                  <w:lang w:val="da-DK"/>
                </w:rPr>
                <w:t>reviewed in 23</w:t>
              </w:r>
            </w:hyperlink>
            <w:r w:rsidR="000E2BFA">
              <w:rPr>
                <w:noProof/>
                <w:lang w:val="da-DK"/>
              </w:rPr>
              <w:t>]</w:t>
            </w:r>
            <w:r>
              <w:rPr>
                <w:lang w:val="da-DK"/>
              </w:rPr>
              <w:fldChar w:fldCharType="end"/>
            </w:r>
          </w:p>
        </w:tc>
      </w:tr>
      <w:tr w:rsidR="0060389D" w:rsidRPr="00EC66E7" w:rsidTr="00EC66E7">
        <w:tc>
          <w:tcPr>
            <w:tcW w:w="2394" w:type="dxa"/>
            <w:vMerge/>
          </w:tcPr>
          <w:p w:rsidR="0060389D" w:rsidRPr="00214ED3" w:rsidRDefault="0060389D" w:rsidP="00EC66E7">
            <w:pPr>
              <w:spacing w:after="0" w:line="240" w:lineRule="auto"/>
              <w:rPr>
                <w:rFonts w:cs="Calibri"/>
                <w:color w:val="000000"/>
                <w:lang w:val="da-DK"/>
              </w:rPr>
            </w:pPr>
          </w:p>
        </w:tc>
        <w:tc>
          <w:tcPr>
            <w:tcW w:w="2394" w:type="dxa"/>
            <w:vMerge w:val="restart"/>
          </w:tcPr>
          <w:p w:rsidR="0060389D" w:rsidRPr="00214ED3" w:rsidRDefault="0060389D" w:rsidP="00EC66E7">
            <w:pPr>
              <w:spacing w:after="0" w:line="240" w:lineRule="auto"/>
              <w:rPr>
                <w:rFonts w:cs="Calibri"/>
                <w:color w:val="000000"/>
                <w:lang w:val="da-DK"/>
              </w:rPr>
            </w:pPr>
            <w:r w:rsidRPr="00214ED3">
              <w:rPr>
                <w:rFonts w:cs="Calibri"/>
                <w:color w:val="000000"/>
                <w:lang w:val="da-DK"/>
              </w:rPr>
              <w:t>Proteomic</w:t>
            </w:r>
          </w:p>
        </w:tc>
        <w:tc>
          <w:tcPr>
            <w:tcW w:w="2394" w:type="dxa"/>
          </w:tcPr>
          <w:p w:rsidR="0060389D" w:rsidRPr="00214ED3" w:rsidRDefault="0060389D" w:rsidP="00EC66E7">
            <w:pPr>
              <w:spacing w:after="0" w:line="240" w:lineRule="auto"/>
              <w:rPr>
                <w:rFonts w:cs="Calibri"/>
                <w:color w:val="000000"/>
                <w:lang w:val="da-DK"/>
              </w:rPr>
            </w:pPr>
            <w:r w:rsidRPr="00214ED3">
              <w:rPr>
                <w:rFonts w:cs="Calibri"/>
                <w:color w:val="000000"/>
                <w:lang w:val="da-DK"/>
              </w:rPr>
              <w:t>MALDI-TOF</w:t>
            </w:r>
          </w:p>
        </w:tc>
        <w:tc>
          <w:tcPr>
            <w:tcW w:w="2394" w:type="dxa"/>
          </w:tcPr>
          <w:p w:rsidR="0060389D" w:rsidRPr="00EC66E7" w:rsidRDefault="0060389D" w:rsidP="002223E5">
            <w:pPr>
              <w:spacing w:after="0" w:line="240" w:lineRule="auto"/>
            </w:pPr>
            <w:r w:rsidRPr="008F2525">
              <w:rPr>
                <w:lang w:val="da-DK"/>
              </w:rPr>
              <w:fldChar w:fldCharType="begin"/>
            </w:r>
            <w:r w:rsidR="000E2BFA">
              <w:rPr>
                <w:lang w:val="da-DK"/>
              </w:rPr>
              <w:instrText xml:space="preserve"> ADDIN EN.CITE &lt;EndNote&gt;&lt;Cite&gt;&lt;Author&gt;Fox&lt;/Author&gt;&lt;Year&gt;2006&lt;/Year&gt;&lt;RecNum&gt;552&lt;/RecNum&gt;&lt;DisplayText&gt;[24, 25]&lt;/DisplayText&gt;&lt;record&gt;&lt;rec-number&gt;552&lt;/rec-number&gt;&lt;foreign-keys&gt;&lt;key app="EN" db-id="arwppdvwa5a2xue5ttppdv2o25d0evt5rrav"&gt;552&lt;/key&gt;&lt;/foreign-keys&gt;&lt;ref-type name="Journal Article"&gt;17&lt;/ref-type&gt;&lt;contributors&gt;&lt;authors&gt;&lt;author&gt;Fox, A.&lt;/author&gt;&lt;/authors&gt;&lt;/contributors&gt;&lt;titles&gt;&lt;title&gt;Mass spectrometry for species or strain identification after culture or without culture: past, present, and future&lt;/title&gt;&lt;secondary-title&gt;Journal of clinical microbiology&lt;/secondary-title&gt;&lt;/titles&gt;&lt;periodical&gt;&lt;full-title&gt;Journal of clinical microbiology&lt;/full-title&gt;&lt;/periodical&gt;&lt;pages&gt;2677-2680&lt;/pages&gt;&lt;volume&gt;44&lt;/volume&gt;&lt;number&gt;8&lt;/number&gt;&lt;dates&gt;&lt;year&gt;2006&lt;/year&gt;&lt;/dates&gt;&lt;isbn&gt;0095-1137&lt;/isbn&gt;&lt;urls&gt;&lt;related-urls&gt;&lt;url&gt;http://www.ncbi.nlm.nih.gov/pmc/articles/PMC1594639/pdf/0971-06.pdf&lt;/url&gt;&lt;/related-urls&gt;&lt;/urls&gt;&lt;/record&gt;&lt;/Cite&gt;&lt;Cite&gt;&lt;Author&gt;Mazzeo&lt;/Author&gt;&lt;Year&gt;2006&lt;/Year&gt;&lt;RecNum&gt;553&lt;/RecNum&gt;&lt;record&gt;&lt;rec-number&gt;553&lt;/rec-number&gt;&lt;foreign-keys&gt;&lt;key app="EN" db-id="arwppdvwa5a2xue5ttppdv2o25d0evt5rrav"&gt;553&lt;/key&gt;&lt;/foreign-keys&gt;&lt;ref-type name="Journal Article"&gt;17&lt;/ref-type&gt;&lt;contributors&gt;&lt;authors&gt;&lt;author&gt;Mazzeo, M.F.&lt;/author&gt;&lt;author&gt;Sorrentino, A.&lt;/author&gt;&lt;author&gt;Gaita, M.&lt;/author&gt;&lt;author&gt;Cacace, G.&lt;/author&gt;&lt;author&gt;Di Stasio, M.&lt;/author&gt;&lt;author&gt;Facchiano, A.&lt;/author&gt;&lt;author&gt;Comi, G.&lt;/author&gt;&lt;author&gt;Malorni, A.&lt;/author&gt;&lt;author&gt;Siciliano, R.A.&lt;/author&gt;&lt;/authors&gt;&lt;/contributors&gt;&lt;titles&gt;&lt;title&gt;Matrix-assisted laser desorption ionization-time of flight mass spectrometry for the discrimination of food-borne microorganisms&lt;/title&gt;&lt;secondary-title&gt;Applied and Environmental Microbiology&lt;/secondary-title&gt;&lt;/titles&gt;&lt;periodical&gt;&lt;full-title&gt;Applied and Environmental Microbiology&lt;/full-title&gt;&lt;/periodical&gt;&lt;pages&gt;1180-1189&lt;/pages&gt;&lt;volume&gt;72&lt;/volume&gt;&lt;number&gt;2&lt;/number&gt;&lt;dates&gt;&lt;year&gt;2006&lt;/year&gt;&lt;/dates&gt;&lt;isbn&gt;0099-2240&lt;/isbn&gt;&lt;urls&gt;&lt;related-urls&gt;&lt;url&gt;http://aem.asm.org/content/72/2/1180.full&lt;/url&gt;&lt;/related-urls&gt;&lt;/urls&gt;&lt;/record&gt;&lt;/Cite&gt;&lt;/EndNote&gt;</w:instrText>
            </w:r>
            <w:r w:rsidRPr="008F2525">
              <w:rPr>
                <w:lang w:val="da-DK"/>
              </w:rPr>
              <w:fldChar w:fldCharType="separate"/>
            </w:r>
            <w:r w:rsidR="000E2BFA">
              <w:rPr>
                <w:noProof/>
                <w:lang w:val="da-DK"/>
              </w:rPr>
              <w:t>[</w:t>
            </w:r>
            <w:hyperlink w:anchor="_ENREF_24" w:tooltip="Fox, 2006 #552" w:history="1">
              <w:r w:rsidR="002223E5">
                <w:rPr>
                  <w:noProof/>
                  <w:lang w:val="da-DK"/>
                </w:rPr>
                <w:t>24</w:t>
              </w:r>
            </w:hyperlink>
            <w:r w:rsidR="000E2BFA">
              <w:rPr>
                <w:noProof/>
                <w:lang w:val="da-DK"/>
              </w:rPr>
              <w:t xml:space="preserve">, </w:t>
            </w:r>
            <w:hyperlink w:anchor="_ENREF_25" w:tooltip="Mazzeo, 2006 #553" w:history="1">
              <w:r w:rsidR="002223E5">
                <w:rPr>
                  <w:noProof/>
                  <w:lang w:val="da-DK"/>
                </w:rPr>
                <w:t>25</w:t>
              </w:r>
            </w:hyperlink>
            <w:r w:rsidR="000E2BFA">
              <w:rPr>
                <w:noProof/>
                <w:lang w:val="da-DK"/>
              </w:rPr>
              <w:t>]</w:t>
            </w:r>
            <w:r w:rsidRPr="008F2525">
              <w:rPr>
                <w:lang w:val="da-DK"/>
              </w:rPr>
              <w:fldChar w:fldCharType="end"/>
            </w:r>
          </w:p>
        </w:tc>
      </w:tr>
      <w:tr w:rsidR="0060389D" w:rsidRPr="00EC66E7" w:rsidTr="00EC66E7">
        <w:tc>
          <w:tcPr>
            <w:tcW w:w="2394" w:type="dxa"/>
            <w:vMerge/>
          </w:tcPr>
          <w:p w:rsidR="0060389D" w:rsidRPr="00EC66E7" w:rsidRDefault="0060389D" w:rsidP="00EC66E7">
            <w:pPr>
              <w:spacing w:after="0" w:line="240" w:lineRule="auto"/>
              <w:rPr>
                <w:rFonts w:cs="Calibri"/>
                <w:color w:val="000000"/>
              </w:rPr>
            </w:pPr>
          </w:p>
        </w:tc>
        <w:tc>
          <w:tcPr>
            <w:tcW w:w="2394" w:type="dxa"/>
            <w:vMerge/>
          </w:tcPr>
          <w:p w:rsidR="0060389D" w:rsidRPr="00EC66E7" w:rsidRDefault="0060389D" w:rsidP="00EC66E7">
            <w:pPr>
              <w:spacing w:after="0" w:line="240" w:lineRule="auto"/>
              <w:rPr>
                <w:rFonts w:cs="Calibri"/>
                <w:color w:val="000000"/>
              </w:rPr>
            </w:pPr>
          </w:p>
        </w:tc>
        <w:tc>
          <w:tcPr>
            <w:tcW w:w="2394" w:type="dxa"/>
          </w:tcPr>
          <w:p w:rsidR="0060389D" w:rsidRPr="00EC66E7" w:rsidRDefault="0060389D" w:rsidP="00EC66E7">
            <w:pPr>
              <w:spacing w:after="0" w:line="240" w:lineRule="auto"/>
              <w:rPr>
                <w:rFonts w:cs="Calibri"/>
                <w:color w:val="000000"/>
              </w:rPr>
            </w:pPr>
            <w:r w:rsidRPr="00EC66E7">
              <w:rPr>
                <w:rFonts w:cs="Calibri"/>
                <w:color w:val="000000"/>
              </w:rPr>
              <w:t xml:space="preserve">Vibrational spectroscopy </w:t>
            </w:r>
          </w:p>
        </w:tc>
        <w:tc>
          <w:tcPr>
            <w:tcW w:w="2394" w:type="dxa"/>
          </w:tcPr>
          <w:p w:rsidR="0060389D" w:rsidRPr="00EC66E7" w:rsidRDefault="0060389D" w:rsidP="002223E5">
            <w:pPr>
              <w:spacing w:after="0" w:line="240" w:lineRule="auto"/>
            </w:pPr>
            <w:r w:rsidRPr="00EC66E7">
              <w:fldChar w:fldCharType="begin"/>
            </w:r>
            <w:r w:rsidR="000E2BFA">
              <w:instrText xml:space="preserve"> ADDIN EN.CITE &lt;EndNote&gt;&lt;Cite&gt;&lt;Author&gt;Maquelin&lt;/Author&gt;&lt;Year&gt;2002&lt;/Year&gt;&lt;RecNum&gt;551&lt;/RecNum&gt;&lt;DisplayText&gt;[26]&lt;/DisplayText&gt;&lt;record&gt;&lt;rec-number&gt;551&lt;/rec-number&gt;&lt;foreign-keys&gt;&lt;key app="EN" db-id="arwppdvwa5a2xue5ttppdv2o25d0evt5rrav"&gt;551&lt;/key&gt;&lt;/foreign-keys&gt;&lt;ref-type name="Journal Article"&gt;17&lt;/ref-type&gt;&lt;contributors&gt;&lt;authors&gt;&lt;author&gt;Maquelin, K.&lt;/author&gt;&lt;author&gt;Kirschner, C.&lt;/author&gt;&lt;author&gt;Choo-Smith, L.P.&lt;/author&gt;&lt;author&gt;Van den Braak, N.&lt;/author&gt;&lt;author&gt;Endtz, H.P.&lt;/author&gt;&lt;author&gt;Naumann, D.&lt;/author&gt;&lt;author&gt;Puppels, G.J.&lt;/author&gt;&lt;/authors&gt;&lt;/contributors&gt;&lt;titles&gt;&lt;title&gt;Identification of medically relevant microorganisms by vibrational spectroscopy&lt;/title&gt;&lt;secondary-title&gt;Journal of microbiological methods&lt;/secondary-title&gt;&lt;/titles&gt;&lt;periodical&gt;&lt;full-title&gt;Journal of microbiological methods&lt;/full-title&gt;&lt;/periodical&gt;&lt;pages&gt;255-271&lt;/pages&gt;&lt;volume&gt;51&lt;/volume&gt;&lt;number&gt;3&lt;/number&gt;&lt;dates&gt;&lt;year&gt;2002&lt;/year&gt;&lt;/dates&gt;&lt;isbn&gt;0167-7012&lt;/isbn&gt;&lt;urls&gt;&lt;related-urls&gt;&lt;url&gt;http://www.sciencedirect.com/science/article/pii/S0167701202001276&lt;/url&gt;&lt;/related-urls&gt;&lt;/urls&gt;&lt;/record&gt;&lt;/Cite&gt;&lt;/EndNote&gt;</w:instrText>
            </w:r>
            <w:r w:rsidRPr="00EC66E7">
              <w:fldChar w:fldCharType="separate"/>
            </w:r>
            <w:r w:rsidR="000E2BFA">
              <w:rPr>
                <w:noProof/>
              </w:rPr>
              <w:t>[</w:t>
            </w:r>
            <w:hyperlink w:anchor="_ENREF_26" w:tooltip="Maquelin, 2002 #551" w:history="1">
              <w:r w:rsidR="002223E5">
                <w:rPr>
                  <w:noProof/>
                </w:rPr>
                <w:t>26</w:t>
              </w:r>
            </w:hyperlink>
            <w:r w:rsidR="000E2BFA">
              <w:rPr>
                <w:noProof/>
              </w:rPr>
              <w:t>]</w:t>
            </w:r>
            <w:r w:rsidRPr="00EC66E7">
              <w:fldChar w:fldCharType="end"/>
            </w:r>
          </w:p>
        </w:tc>
      </w:tr>
      <w:tr w:rsidR="0060389D" w:rsidRPr="00EC66E7" w:rsidTr="00530732">
        <w:tc>
          <w:tcPr>
            <w:tcW w:w="2394" w:type="dxa"/>
            <w:vMerge/>
          </w:tcPr>
          <w:p w:rsidR="0060389D" w:rsidRPr="00EC66E7" w:rsidRDefault="0060389D" w:rsidP="00EC66E7">
            <w:pPr>
              <w:spacing w:after="0" w:line="240" w:lineRule="auto"/>
              <w:rPr>
                <w:rFonts w:cs="Calibri"/>
                <w:color w:val="000000"/>
              </w:rPr>
            </w:pPr>
          </w:p>
        </w:tc>
        <w:tc>
          <w:tcPr>
            <w:tcW w:w="2394" w:type="dxa"/>
            <w:vMerge/>
          </w:tcPr>
          <w:p w:rsidR="0060389D" w:rsidRPr="00EC66E7" w:rsidRDefault="0060389D" w:rsidP="00EC66E7">
            <w:pPr>
              <w:spacing w:after="0" w:line="240" w:lineRule="auto"/>
              <w:rPr>
                <w:rFonts w:cs="Calibri"/>
                <w:color w:val="000000"/>
              </w:rPr>
            </w:pPr>
          </w:p>
        </w:tc>
        <w:tc>
          <w:tcPr>
            <w:tcW w:w="2394" w:type="dxa"/>
            <w:shd w:val="clear" w:color="auto" w:fill="FFFFFF" w:themeFill="background1"/>
          </w:tcPr>
          <w:p w:rsidR="0060389D" w:rsidRPr="00EC66E7" w:rsidRDefault="00530732" w:rsidP="0060389D">
            <w:pPr>
              <w:spacing w:after="0" w:line="240" w:lineRule="auto"/>
              <w:rPr>
                <w:rFonts w:cs="Calibri"/>
                <w:color w:val="000000"/>
              </w:rPr>
            </w:pPr>
            <w:r>
              <w:rPr>
                <w:rFonts w:cs="Calibri"/>
                <w:color w:val="000000"/>
              </w:rPr>
              <w:t xml:space="preserve">Serological identification, e.g., </w:t>
            </w:r>
            <w:r w:rsidR="0060389D">
              <w:rPr>
                <w:rFonts w:cs="Calibri"/>
                <w:color w:val="000000"/>
              </w:rPr>
              <w:t xml:space="preserve">Enzyme-Linked </w:t>
            </w:r>
            <w:proofErr w:type="spellStart"/>
            <w:r w:rsidR="0060389D">
              <w:rPr>
                <w:rFonts w:cs="Calibri"/>
                <w:color w:val="000000"/>
              </w:rPr>
              <w:t>Immunosorbent</w:t>
            </w:r>
            <w:proofErr w:type="spellEnd"/>
            <w:r w:rsidR="0060389D">
              <w:rPr>
                <w:rFonts w:cs="Calibri"/>
                <w:color w:val="000000"/>
              </w:rPr>
              <w:t xml:space="preserve"> Assay (ELISA)</w:t>
            </w:r>
          </w:p>
        </w:tc>
        <w:tc>
          <w:tcPr>
            <w:tcW w:w="2394" w:type="dxa"/>
            <w:shd w:val="clear" w:color="auto" w:fill="FFFFFF" w:themeFill="background1"/>
          </w:tcPr>
          <w:p w:rsidR="0060389D" w:rsidRPr="00EC66E7" w:rsidRDefault="00530732" w:rsidP="002223E5">
            <w:pPr>
              <w:spacing w:after="0" w:line="240" w:lineRule="auto"/>
            </w:pPr>
            <w:r>
              <w:fldChar w:fldCharType="begin"/>
            </w:r>
            <w:r w:rsidR="000E2BFA">
              <w:instrText xml:space="preserve"> ADDIN EN.CITE &lt;EndNote&gt;&lt;Cite&gt;&lt;Author&gt;Chu&lt;/Author&gt;&lt;Year&gt;1989&lt;/Year&gt;&lt;RecNum&gt;1362&lt;/RecNum&gt;&lt;Prefix&gt;reviewed in &lt;/Prefix&gt;&lt;DisplayText&gt;[reviewed in 27]&lt;/DisplayText&gt;&lt;record&gt;&lt;rec-number&gt;1362&lt;/rec-number&gt;&lt;foreign-keys&gt;&lt;key app="EN" db-id="arwppdvwa5a2xue5ttppdv2o25d0evt5rrav"&gt;1362&lt;/key&gt;&lt;/foreign-keys&gt;&lt;ref-type name="Journal Article"&gt;17&lt;/ref-type&gt;&lt;contributors&gt;&lt;authors&gt;&lt;author&gt;Chu, P.W.G.&lt;/author&gt;&lt;author&gt;Waterhouse, P.M.&lt;/author&gt;&lt;author&gt;Martin, R.R.&lt;/author&gt;&lt;author&gt;Gerlach, W.L.&lt;/author&gt;&lt;/authors&gt;&lt;/contributors&gt;&lt;titles&gt;&lt;title&gt;New approaches to the detection of microbial plant pathogens&lt;/title&gt;&lt;secondary-title&gt;Biotechnology and Genetic Engineering Reviews&lt;/secondary-title&gt;&lt;/titles&gt;&lt;periodical&gt;&lt;full-title&gt;Biotechnology and Genetic Engineering Reviews&lt;/full-title&gt;&lt;/periodical&gt;&lt;pages&gt;45-112&lt;/pages&gt;&lt;volume&gt;7&lt;/volume&gt;&lt;number&gt;1&lt;/number&gt;&lt;dates&gt;&lt;year&gt;1989&lt;/year&gt;&lt;/dates&gt;&lt;isbn&gt;0264-8725&lt;/isbn&gt;&lt;urls&gt;&lt;related-urls&gt;&lt;url&gt;http://www.nottingham.ac.uk/ncmh/BGER/pdf/Volume%207/BGER7-2.pdf&lt;/url&gt;&lt;/related-urls&gt;&lt;/urls&gt;&lt;/record&gt;&lt;/Cite&gt;&lt;/EndNote&gt;</w:instrText>
            </w:r>
            <w:r>
              <w:fldChar w:fldCharType="separate"/>
            </w:r>
            <w:r w:rsidR="000E2BFA">
              <w:rPr>
                <w:noProof/>
              </w:rPr>
              <w:t>[</w:t>
            </w:r>
            <w:hyperlink w:anchor="_ENREF_27" w:tooltip="Chu, 1989 #1362" w:history="1">
              <w:r w:rsidR="002223E5">
                <w:rPr>
                  <w:noProof/>
                </w:rPr>
                <w:t>reviewed in 27</w:t>
              </w:r>
            </w:hyperlink>
            <w:r w:rsidR="000E2BFA">
              <w:rPr>
                <w:noProof/>
              </w:rPr>
              <w:t>]</w:t>
            </w:r>
            <w:r>
              <w:fldChar w:fldCharType="end"/>
            </w:r>
          </w:p>
        </w:tc>
      </w:tr>
      <w:tr w:rsidR="007469B8" w:rsidRPr="00EC66E7" w:rsidTr="00EC66E7">
        <w:tc>
          <w:tcPr>
            <w:tcW w:w="2394" w:type="dxa"/>
            <w:vMerge w:val="restart"/>
          </w:tcPr>
          <w:p w:rsidR="007469B8" w:rsidRPr="00EC66E7" w:rsidRDefault="007469B8" w:rsidP="00EC66E7">
            <w:pPr>
              <w:spacing w:after="0" w:line="240" w:lineRule="auto"/>
              <w:rPr>
                <w:rFonts w:cs="Calibri"/>
                <w:color w:val="000000"/>
              </w:rPr>
            </w:pPr>
            <w:r w:rsidRPr="00EC66E7">
              <w:rPr>
                <w:rFonts w:cs="Calibri"/>
                <w:color w:val="000000"/>
              </w:rPr>
              <w:t>Traditional Approaches</w:t>
            </w:r>
          </w:p>
        </w:tc>
        <w:tc>
          <w:tcPr>
            <w:tcW w:w="2394" w:type="dxa"/>
          </w:tcPr>
          <w:p w:rsidR="007469B8" w:rsidRPr="00EC66E7" w:rsidRDefault="007469B8" w:rsidP="00EC66E7">
            <w:pPr>
              <w:spacing w:after="0" w:line="240" w:lineRule="auto"/>
              <w:rPr>
                <w:rFonts w:cs="Calibri"/>
                <w:color w:val="000000"/>
              </w:rPr>
            </w:pPr>
            <w:r w:rsidRPr="00EC66E7">
              <w:rPr>
                <w:rFonts w:cs="Calibri"/>
                <w:color w:val="000000"/>
              </w:rPr>
              <w:t>Morphological and phenotypic characterization</w:t>
            </w:r>
          </w:p>
        </w:tc>
        <w:tc>
          <w:tcPr>
            <w:tcW w:w="2394" w:type="dxa"/>
          </w:tcPr>
          <w:p w:rsidR="007469B8" w:rsidRPr="00EC66E7" w:rsidRDefault="007469B8" w:rsidP="00EC66E7">
            <w:pPr>
              <w:spacing w:after="0" w:line="240" w:lineRule="auto"/>
              <w:rPr>
                <w:rFonts w:cs="Calibri"/>
                <w:color w:val="000000"/>
              </w:rPr>
            </w:pPr>
            <w:r w:rsidRPr="00EC66E7">
              <w:rPr>
                <w:rFonts w:cs="Calibri"/>
                <w:color w:val="000000"/>
              </w:rPr>
              <w:t>For example, colony or spore shape; size; sporulation characteristics; cell surface and cell wall (e.g., Gram reaction) characteristics; motility; etc.</w:t>
            </w:r>
          </w:p>
        </w:tc>
        <w:tc>
          <w:tcPr>
            <w:tcW w:w="2394" w:type="dxa"/>
          </w:tcPr>
          <w:p w:rsidR="007469B8" w:rsidRPr="00EC66E7" w:rsidRDefault="007469B8" w:rsidP="002223E5">
            <w:pPr>
              <w:spacing w:after="0" w:line="240" w:lineRule="auto"/>
            </w:pPr>
            <w:r w:rsidRPr="00EC66E7">
              <w:fldChar w:fldCharType="begin"/>
            </w:r>
            <w:r w:rsidR="000E2BFA">
              <w:instrText xml:space="preserve"> ADDIN EN.CITE &lt;EndNote&gt;&lt;Cite&gt;&lt;Author&gt;Dugan&lt;/Author&gt;&lt;Year&gt;2006&lt;/Year&gt;&lt;RecNum&gt;1319&lt;/RecNum&gt;&lt;DisplayText&gt;[28, 29]&lt;/DisplayText&gt;&lt;record&gt;&lt;rec-number&gt;1319&lt;/rec-number&gt;&lt;foreign-keys&gt;&lt;key app="EN" db-id="arwppdvwa5a2xue5ttppdv2o25d0evt5rrav"&gt;1319&lt;/key&gt;&lt;/foreign-keys&gt;&lt;ref-type name="Book"&gt;6&lt;/ref-type&gt;&lt;contributors&gt;&lt;authors&gt;&lt;author&gt;Dugan, F.M.&lt;/author&gt;&lt;/authors&gt;&lt;/contributors&gt;&lt;titles&gt;&lt;title&gt;The identification of fungi: an illustrated introduction with keys, glossary, and guide to literature&lt;/title&gt;&lt;/titles&gt;&lt;dates&gt;&lt;year&gt;2006&lt;/year&gt;&lt;/dates&gt;&lt;publisher&gt;American Phytopathological Society&lt;/publisher&gt;&lt;isbn&gt;0890543364&lt;/isbn&gt;&lt;urls&gt;&lt;related-urls&gt;&lt;url&gt;http://www.apsnet.org/apsstore/shopapspress/Pages/43364.aspx&lt;/url&gt;&lt;/related-urls&gt;&lt;/urls&gt;&lt;/record&gt;&lt;/Cite&gt;&lt;Cite&gt;&lt;Author&gt;Whitman&lt;/Author&gt;&lt;Year&gt;2012&lt;/Year&gt;&lt;RecNum&gt;1320&lt;/RecNum&gt;&lt;record&gt;&lt;rec-number&gt;1320&lt;/rec-number&gt;&lt;foreign-keys&gt;&lt;key app="EN" db-id="arwppdvwa5a2xue5ttppdv2o25d0evt5rrav"&gt;1320&lt;/key&gt;&lt;/foreign-keys&gt;&lt;ref-type name="Book"&gt;6&lt;/ref-type&gt;&lt;contributors&gt;&lt;authors&gt;&lt;author&gt;Whitman, W.B. et al&lt;/author&gt;&lt;/authors&gt;&lt;/contributors&gt;&lt;titles&gt;&lt;title&gt;Bergey’s manual of systematic bacteriology (all volumes)&lt;/title&gt;&lt;secondary-title&gt;Bergey’s manual of systematic bacteriology&lt;/secondary-title&gt;&lt;/titles&gt;&lt;volume&gt;3&lt;/volume&gt;&lt;dates&gt;&lt;year&gt;2012&lt;/year&gt;&lt;/dates&gt;&lt;publisher&gt;Springer&lt;/publisher&gt;&lt;urls&gt;&lt;related-urls&gt;&lt;url&gt;http://www.springer.com/series/4157&lt;/url&gt;&lt;/related-urls&gt;&lt;/urls&gt;&lt;/record&gt;&lt;/Cite&gt;&lt;/EndNote&gt;</w:instrText>
            </w:r>
            <w:r w:rsidRPr="00EC66E7">
              <w:fldChar w:fldCharType="separate"/>
            </w:r>
            <w:r w:rsidR="000E2BFA">
              <w:rPr>
                <w:noProof/>
              </w:rPr>
              <w:t>[</w:t>
            </w:r>
            <w:hyperlink w:anchor="_ENREF_28" w:tooltip="Dugan, 2006 #1319" w:history="1">
              <w:r w:rsidR="002223E5">
                <w:rPr>
                  <w:noProof/>
                </w:rPr>
                <w:t>28</w:t>
              </w:r>
            </w:hyperlink>
            <w:r w:rsidR="000E2BFA">
              <w:rPr>
                <w:noProof/>
              </w:rPr>
              <w:t xml:space="preserve">, </w:t>
            </w:r>
            <w:hyperlink w:anchor="_ENREF_29" w:tooltip="Whitman, 2012 #1320" w:history="1">
              <w:r w:rsidR="002223E5">
                <w:rPr>
                  <w:noProof/>
                </w:rPr>
                <w:t>29</w:t>
              </w:r>
            </w:hyperlink>
            <w:r w:rsidR="000E2BFA">
              <w:rPr>
                <w:noProof/>
              </w:rPr>
              <w:t>]</w:t>
            </w:r>
            <w:r w:rsidRPr="00EC66E7">
              <w:fldChar w:fldCharType="end"/>
            </w:r>
          </w:p>
        </w:tc>
      </w:tr>
      <w:tr w:rsidR="007469B8" w:rsidRPr="00EC66E7" w:rsidTr="00EC66E7">
        <w:tc>
          <w:tcPr>
            <w:tcW w:w="2394" w:type="dxa"/>
            <w:vMerge/>
          </w:tcPr>
          <w:p w:rsidR="007469B8" w:rsidRPr="00EC66E7" w:rsidRDefault="007469B8" w:rsidP="00EC66E7">
            <w:pPr>
              <w:spacing w:after="0" w:line="240" w:lineRule="auto"/>
              <w:rPr>
                <w:rFonts w:cs="Calibri"/>
                <w:color w:val="000000"/>
              </w:rPr>
            </w:pPr>
          </w:p>
        </w:tc>
        <w:tc>
          <w:tcPr>
            <w:tcW w:w="2394" w:type="dxa"/>
          </w:tcPr>
          <w:p w:rsidR="007469B8" w:rsidRPr="00EC66E7" w:rsidRDefault="007469B8" w:rsidP="00EC66E7">
            <w:pPr>
              <w:spacing w:after="0" w:line="240" w:lineRule="auto"/>
              <w:rPr>
                <w:rFonts w:cs="Calibri"/>
                <w:color w:val="000000"/>
              </w:rPr>
            </w:pPr>
            <w:r w:rsidRPr="00EC66E7">
              <w:rPr>
                <w:rFonts w:cs="Calibri"/>
                <w:color w:val="000000"/>
              </w:rPr>
              <w:t>Fatty acid characterization</w:t>
            </w:r>
          </w:p>
        </w:tc>
        <w:tc>
          <w:tcPr>
            <w:tcW w:w="2394" w:type="dxa"/>
          </w:tcPr>
          <w:p w:rsidR="007469B8" w:rsidRPr="00EC66E7" w:rsidRDefault="007469B8" w:rsidP="00EC66E7">
            <w:pPr>
              <w:spacing w:after="0" w:line="240" w:lineRule="auto"/>
              <w:rPr>
                <w:rFonts w:cs="Calibri"/>
                <w:color w:val="000000"/>
              </w:rPr>
            </w:pPr>
          </w:p>
        </w:tc>
        <w:tc>
          <w:tcPr>
            <w:tcW w:w="2394" w:type="dxa"/>
          </w:tcPr>
          <w:p w:rsidR="007469B8" w:rsidRPr="00EC66E7" w:rsidRDefault="007469B8" w:rsidP="002223E5">
            <w:pPr>
              <w:spacing w:after="0" w:line="240" w:lineRule="auto"/>
            </w:pPr>
            <w:r w:rsidRPr="00EC66E7">
              <w:fldChar w:fldCharType="begin"/>
            </w:r>
            <w:r w:rsidR="000E2BFA">
              <w:instrText xml:space="preserve"> ADDIN EN.CITE &lt;EndNote&gt;&lt;Cite&gt;&lt;Author&gt;Abel&lt;/Author&gt;&lt;Year&gt;1963&lt;/Year&gt;&lt;RecNum&gt;549&lt;/RecNum&gt;&lt;DisplayText&gt;[30, 31]&lt;/DisplayText&gt;&lt;record&gt;&lt;rec-number&gt;549&lt;/rec-number&gt;&lt;foreign-keys&gt;&lt;key app="EN" db-id="arwppdvwa5a2xue5ttppdv2o25d0evt5rrav"&gt;549&lt;/key&gt;&lt;/foreign-keys&gt;&lt;ref-type name="Journal Article"&gt;17&lt;/ref-type&gt;&lt;contributors&gt;&lt;authors&gt;&lt;author&gt;Abel, K.&lt;/author&gt;&lt;author&gt;Peterson, J.I.&lt;/author&gt;&lt;/authors&gt;&lt;/contributors&gt;&lt;titles&gt;&lt;title&gt;Classification of microorganisms by analysis of chemical composition I. Feasibility of utilizing gas chromatography&lt;/title&gt;&lt;secondary-title&gt;Journal of bacteriology&lt;/secondary-title&gt;&lt;/titles&gt;&lt;periodical&gt;&lt;full-title&gt;Journal of bacteriology&lt;/full-title&gt;&lt;/periodical&gt;&lt;pages&gt;1039-1044&lt;/pages&gt;&lt;volume&gt;85&lt;/volume&gt;&lt;number&gt;5&lt;/number&gt;&lt;dates&gt;&lt;year&gt;1963&lt;/year&gt;&lt;/dates&gt;&lt;isbn&gt;0021-9193&lt;/isbn&gt;&lt;urls&gt;&lt;related-urls&gt;&lt;url&gt;http://jb.asm.org/content/85/5/1039.full.pdf+html&lt;/url&gt;&lt;/related-urls&gt;&lt;/urls&gt;&lt;/record&gt;&lt;/Cite&gt;&lt;Cite&gt;&lt;Author&gt;Eerola&lt;/Author&gt;&lt;Year&gt;1988&lt;/Year&gt;&lt;RecNum&gt;550&lt;/RecNum&gt;&lt;record&gt;&lt;rec-number&gt;550&lt;/rec-number&gt;&lt;foreign-keys&gt;&lt;key app="EN" db-id="arwppdvwa5a2xue5ttppdv2o25d0evt5rrav"&gt;550&lt;/key&gt;&lt;/foreign-keys&gt;&lt;ref-type name="Journal Article"&gt;17&lt;/ref-type&gt;&lt;contributors&gt;&lt;authors&gt;&lt;author&gt;Eerola, E.&lt;/author&gt;&lt;author&gt;Lehtonen, O.P.&lt;/author&gt;&lt;/authors&gt;&lt;/contributors&gt;&lt;titles&gt;&lt;title&gt;Optimal data processing procedure for automatic bacterial identification by gas-liquid chromatography of cellular fatty acids&lt;/title&gt;&lt;secondary-title&gt;Journal of clinical microbiology&lt;/secondary-title&gt;&lt;/titles&gt;&lt;periodical&gt;&lt;full-title&gt;Journal of clinical microbiology&lt;/full-title&gt;&lt;/periodical&gt;&lt;pages&gt;1745-1753&lt;/pages&gt;&lt;volume&gt;26&lt;/volume&gt;&lt;number&gt;9&lt;/number&gt;&lt;dates&gt;&lt;year&gt;1988&lt;/year&gt;&lt;/dates&gt;&lt;isbn&gt;0095-1137&lt;/isbn&gt;&lt;urls&gt;&lt;related-urls&gt;&lt;url&gt;jcm.asm.org/content/26/9/1745.full.pdf&lt;/url&gt;&lt;/related-urls&gt;&lt;/urls&gt;&lt;/record&gt;&lt;/Cite&gt;&lt;/EndNote&gt;</w:instrText>
            </w:r>
            <w:r w:rsidRPr="00EC66E7">
              <w:fldChar w:fldCharType="separate"/>
            </w:r>
            <w:r w:rsidR="000E2BFA">
              <w:rPr>
                <w:noProof/>
              </w:rPr>
              <w:t>[</w:t>
            </w:r>
            <w:hyperlink w:anchor="_ENREF_30" w:tooltip="Abel, 1963 #549" w:history="1">
              <w:r w:rsidR="002223E5">
                <w:rPr>
                  <w:noProof/>
                </w:rPr>
                <w:t>30</w:t>
              </w:r>
            </w:hyperlink>
            <w:r w:rsidR="000E2BFA">
              <w:rPr>
                <w:noProof/>
              </w:rPr>
              <w:t xml:space="preserve">, </w:t>
            </w:r>
            <w:hyperlink w:anchor="_ENREF_31" w:tooltip="Eerola, 1988 #550" w:history="1">
              <w:r w:rsidR="002223E5">
                <w:rPr>
                  <w:noProof/>
                </w:rPr>
                <w:t>31</w:t>
              </w:r>
            </w:hyperlink>
            <w:r w:rsidR="000E2BFA">
              <w:rPr>
                <w:noProof/>
              </w:rPr>
              <w:t>]</w:t>
            </w:r>
            <w:r w:rsidRPr="00EC66E7">
              <w:fldChar w:fldCharType="end"/>
            </w:r>
          </w:p>
        </w:tc>
      </w:tr>
      <w:tr w:rsidR="007469B8" w:rsidRPr="00EC66E7" w:rsidTr="00EC66E7">
        <w:tc>
          <w:tcPr>
            <w:tcW w:w="2394" w:type="dxa"/>
            <w:vMerge/>
          </w:tcPr>
          <w:p w:rsidR="007469B8" w:rsidRPr="00EC66E7" w:rsidRDefault="007469B8" w:rsidP="00EC66E7">
            <w:pPr>
              <w:spacing w:after="0" w:line="240" w:lineRule="auto"/>
              <w:rPr>
                <w:rFonts w:cs="Calibri"/>
                <w:color w:val="000000"/>
              </w:rPr>
            </w:pPr>
          </w:p>
        </w:tc>
        <w:tc>
          <w:tcPr>
            <w:tcW w:w="2394" w:type="dxa"/>
          </w:tcPr>
          <w:p w:rsidR="007469B8" w:rsidRPr="00EC66E7" w:rsidRDefault="007469B8" w:rsidP="00EC66E7">
            <w:pPr>
              <w:spacing w:after="0" w:line="240" w:lineRule="auto"/>
              <w:rPr>
                <w:rFonts w:cs="Calibri"/>
                <w:color w:val="000000"/>
              </w:rPr>
            </w:pPr>
            <w:r w:rsidRPr="00EC66E7">
              <w:rPr>
                <w:rFonts w:cs="Calibri"/>
                <w:color w:val="000000"/>
              </w:rPr>
              <w:t>Biochemical analysis</w:t>
            </w:r>
          </w:p>
        </w:tc>
        <w:tc>
          <w:tcPr>
            <w:tcW w:w="2394" w:type="dxa"/>
          </w:tcPr>
          <w:p w:rsidR="007469B8" w:rsidRPr="00EC66E7" w:rsidRDefault="007469B8" w:rsidP="00EC66E7">
            <w:pPr>
              <w:spacing w:after="0" w:line="240" w:lineRule="auto"/>
              <w:rPr>
                <w:rFonts w:cs="Calibri"/>
                <w:color w:val="000000"/>
              </w:rPr>
            </w:pPr>
            <w:r w:rsidRPr="00EC66E7">
              <w:rPr>
                <w:rFonts w:cs="Calibri"/>
                <w:color w:val="000000"/>
              </w:rPr>
              <w:t>Growth requirements, enzymatic profile, and cellular fatty acid composition.</w:t>
            </w:r>
          </w:p>
        </w:tc>
        <w:tc>
          <w:tcPr>
            <w:tcW w:w="2394" w:type="dxa"/>
          </w:tcPr>
          <w:p w:rsidR="007469B8" w:rsidRPr="00EC66E7" w:rsidRDefault="007469B8" w:rsidP="002223E5">
            <w:pPr>
              <w:spacing w:after="0" w:line="240" w:lineRule="auto"/>
            </w:pPr>
            <w:r w:rsidRPr="00EC66E7">
              <w:fldChar w:fldCharType="begin"/>
            </w:r>
            <w:r w:rsidR="000E2BFA">
              <w:instrText xml:space="preserve"> ADDIN EN.CITE &lt;EndNote&gt;&lt;Cite&gt;&lt;Author&gt;Whitman&lt;/Author&gt;&lt;Year&gt;2012&lt;/Year&gt;&lt;RecNum&gt;1320&lt;/RecNum&gt;&lt;DisplayText&gt;[29]&lt;/DisplayText&gt;&lt;record&gt;&lt;rec-number&gt;1320&lt;/rec-number&gt;&lt;foreign-keys&gt;&lt;key app="EN" db-id="arwppdvwa5a2xue5ttppdv2o25d0evt5rrav"&gt;1320&lt;/key&gt;&lt;/foreign-keys&gt;&lt;ref-type name="Book"&gt;6&lt;/ref-type&gt;&lt;contributors&gt;&lt;authors&gt;&lt;author&gt;Whitman, W.B. et al&lt;/author&gt;&lt;/authors&gt;&lt;/contributors&gt;&lt;titles&gt;&lt;title&gt;Bergey’s manual of systematic bacteriology (all volumes)&lt;/title&gt;&lt;secondary-title&gt;Bergey’s manual of systematic bacteriology&lt;/secondary-title&gt;&lt;/titles&gt;&lt;volume&gt;3&lt;/volume&gt;&lt;dates&gt;&lt;year&gt;2012&lt;/year&gt;&lt;/dates&gt;&lt;publisher&gt;Springer&lt;/publisher&gt;&lt;urls&gt;&lt;related-urls&gt;&lt;url&gt;http://www.springer.com/series/4157&lt;/url&gt;&lt;/related-urls&gt;&lt;/urls&gt;&lt;/record&gt;&lt;/Cite&gt;&lt;/EndNote&gt;</w:instrText>
            </w:r>
            <w:r w:rsidRPr="00EC66E7">
              <w:fldChar w:fldCharType="separate"/>
            </w:r>
            <w:r w:rsidR="000E2BFA">
              <w:rPr>
                <w:noProof/>
              </w:rPr>
              <w:t>[</w:t>
            </w:r>
            <w:hyperlink w:anchor="_ENREF_29" w:tooltip="Whitman, 2012 #1320" w:history="1">
              <w:r w:rsidR="002223E5">
                <w:rPr>
                  <w:noProof/>
                </w:rPr>
                <w:t>29</w:t>
              </w:r>
            </w:hyperlink>
            <w:r w:rsidR="000E2BFA">
              <w:rPr>
                <w:noProof/>
              </w:rPr>
              <w:t>]</w:t>
            </w:r>
            <w:r w:rsidRPr="00EC66E7">
              <w:fldChar w:fldCharType="end"/>
            </w:r>
          </w:p>
        </w:tc>
      </w:tr>
    </w:tbl>
    <w:p w:rsidR="007469B8" w:rsidRDefault="007469B8">
      <w:pPr>
        <w:rPr>
          <w:lang w:val="en-US"/>
        </w:rPr>
      </w:pPr>
      <w:r>
        <w:rPr>
          <w:lang w:val="en-US"/>
        </w:rPr>
        <w:br w:type="page"/>
      </w:r>
    </w:p>
    <w:p w:rsidR="007469B8" w:rsidRDefault="007469B8" w:rsidP="00C32E8F">
      <w:pPr>
        <w:pStyle w:val="Heading1"/>
        <w:rPr>
          <w:lang w:val="en-US"/>
        </w:rPr>
      </w:pPr>
      <w:bookmarkStart w:id="20" w:name="_Toc387918953"/>
      <w:r>
        <w:rPr>
          <w:lang w:val="en-US"/>
        </w:rPr>
        <w:t>References</w:t>
      </w:r>
      <w:bookmarkEnd w:id="20"/>
    </w:p>
    <w:p w:rsidR="002223E5" w:rsidRDefault="007469B8" w:rsidP="002223E5">
      <w:pPr>
        <w:spacing w:after="0" w:line="240" w:lineRule="auto"/>
        <w:ind w:left="720" w:hanging="720"/>
        <w:rPr>
          <w:noProof/>
          <w:lang w:val="en-US"/>
        </w:rPr>
      </w:pPr>
      <w:r>
        <w:rPr>
          <w:lang w:val="en-US"/>
        </w:rPr>
        <w:fldChar w:fldCharType="begin"/>
      </w:r>
      <w:r>
        <w:rPr>
          <w:lang w:val="en-US"/>
        </w:rPr>
        <w:instrText xml:space="preserve"> ADDIN EN.REFLIST </w:instrText>
      </w:r>
      <w:r>
        <w:rPr>
          <w:lang w:val="en-US"/>
        </w:rPr>
        <w:fldChar w:fldCharType="separate"/>
      </w:r>
      <w:bookmarkStart w:id="21" w:name="_ENREF_1"/>
      <w:r w:rsidR="002223E5">
        <w:rPr>
          <w:noProof/>
          <w:lang w:val="en-US"/>
        </w:rPr>
        <w:t>1.</w:t>
      </w:r>
      <w:r w:rsidR="002223E5">
        <w:rPr>
          <w:noProof/>
          <w:lang w:val="en-US"/>
        </w:rPr>
        <w:tab/>
        <w:t xml:space="preserve">Kulik, M.M. and P.C. Stanwood, </w:t>
      </w:r>
      <w:r w:rsidR="002223E5" w:rsidRPr="002223E5">
        <w:rPr>
          <w:i/>
          <w:noProof/>
          <w:lang w:val="en-US"/>
        </w:rPr>
        <w:t>Horticultural seed pathology - an introduction.</w:t>
      </w:r>
      <w:r w:rsidR="002223E5">
        <w:rPr>
          <w:noProof/>
          <w:lang w:val="en-US"/>
        </w:rPr>
        <w:t xml:space="preserve"> Journal of seed technology, 1984. </w:t>
      </w:r>
      <w:r w:rsidR="002223E5" w:rsidRPr="002223E5">
        <w:rPr>
          <w:b/>
          <w:noProof/>
          <w:lang w:val="en-US"/>
        </w:rPr>
        <w:t>9</w:t>
      </w:r>
      <w:r w:rsidR="002223E5">
        <w:rPr>
          <w:noProof/>
          <w:lang w:val="en-US"/>
        </w:rPr>
        <w:t>(1): p. 1-19.</w:t>
      </w:r>
      <w:bookmarkEnd w:id="21"/>
    </w:p>
    <w:p w:rsidR="002223E5" w:rsidRDefault="002223E5" w:rsidP="002223E5">
      <w:pPr>
        <w:spacing w:after="0" w:line="240" w:lineRule="auto"/>
        <w:ind w:left="720" w:hanging="720"/>
        <w:rPr>
          <w:noProof/>
          <w:lang w:val="en-US"/>
        </w:rPr>
      </w:pPr>
      <w:bookmarkStart w:id="22" w:name="_ENREF_2"/>
      <w:r>
        <w:rPr>
          <w:noProof/>
          <w:lang w:val="en-US"/>
        </w:rPr>
        <w:t>2.</w:t>
      </w:r>
      <w:r>
        <w:rPr>
          <w:noProof/>
          <w:lang w:val="en-US"/>
        </w:rPr>
        <w:tab/>
        <w:t xml:space="preserve">Government of Canada, </w:t>
      </w:r>
      <w:r w:rsidRPr="002223E5">
        <w:rPr>
          <w:i/>
          <w:noProof/>
          <w:lang w:val="en-US"/>
        </w:rPr>
        <w:t>Canadian Environmental Protection Act, 1999 (S.C. 1999, c. 33)</w:t>
      </w:r>
      <w:r>
        <w:rPr>
          <w:noProof/>
          <w:lang w:val="en-US"/>
        </w:rPr>
        <w:t xml:space="preserve">, in </w:t>
      </w:r>
      <w:r w:rsidRPr="002223E5">
        <w:rPr>
          <w:i/>
          <w:noProof/>
          <w:lang w:val="en-US"/>
        </w:rPr>
        <w:t>S.C. 1999, c. 33</w:t>
      </w:r>
      <w:r>
        <w:rPr>
          <w:noProof/>
          <w:lang w:val="en-US"/>
        </w:rPr>
        <w:t>. 1999: Canada.</w:t>
      </w:r>
      <w:bookmarkEnd w:id="22"/>
    </w:p>
    <w:p w:rsidR="002223E5" w:rsidRDefault="002223E5" w:rsidP="002223E5">
      <w:pPr>
        <w:spacing w:after="0" w:line="240" w:lineRule="auto"/>
        <w:ind w:left="720" w:hanging="720"/>
        <w:rPr>
          <w:noProof/>
          <w:lang w:val="en-US"/>
        </w:rPr>
      </w:pPr>
      <w:bookmarkStart w:id="23" w:name="_ENREF_3"/>
      <w:r>
        <w:rPr>
          <w:noProof/>
          <w:lang w:val="en-US"/>
        </w:rPr>
        <w:t>3.</w:t>
      </w:r>
      <w:r>
        <w:rPr>
          <w:noProof/>
          <w:lang w:val="en-US"/>
        </w:rPr>
        <w:tab/>
        <w:t xml:space="preserve">Government of Canada, </w:t>
      </w:r>
      <w:r w:rsidRPr="002223E5">
        <w:rPr>
          <w:i/>
          <w:noProof/>
          <w:lang w:val="en-US"/>
        </w:rPr>
        <w:t>New Substances Notification Regulations (Organisms) (SOR/2005-248)</w:t>
      </w:r>
      <w:r>
        <w:rPr>
          <w:noProof/>
          <w:lang w:val="en-US"/>
        </w:rPr>
        <w:t xml:space="preserve">, in </w:t>
      </w:r>
      <w:r w:rsidRPr="002223E5">
        <w:rPr>
          <w:i/>
          <w:noProof/>
          <w:lang w:val="en-US"/>
        </w:rPr>
        <w:t>SOR/2005-248</w:t>
      </w:r>
      <w:r>
        <w:rPr>
          <w:noProof/>
          <w:lang w:val="en-US"/>
        </w:rPr>
        <w:t>. 2005: Canada.</w:t>
      </w:r>
      <w:bookmarkEnd w:id="23"/>
    </w:p>
    <w:p w:rsidR="002223E5" w:rsidRDefault="002223E5" w:rsidP="002223E5">
      <w:pPr>
        <w:spacing w:after="0" w:line="240" w:lineRule="auto"/>
        <w:ind w:left="720" w:hanging="720"/>
        <w:rPr>
          <w:noProof/>
          <w:lang w:val="en-US"/>
        </w:rPr>
      </w:pPr>
      <w:bookmarkStart w:id="24" w:name="_ENREF_4"/>
      <w:r>
        <w:rPr>
          <w:noProof/>
          <w:lang w:val="en-US"/>
        </w:rPr>
        <w:t>4.</w:t>
      </w:r>
      <w:r>
        <w:rPr>
          <w:noProof/>
          <w:lang w:val="en-US"/>
        </w:rPr>
        <w:tab/>
        <w:t xml:space="preserve">Government of Canada, </w:t>
      </w:r>
      <w:r w:rsidRPr="002223E5">
        <w:rPr>
          <w:i/>
          <w:noProof/>
          <w:lang w:val="en-US"/>
        </w:rPr>
        <w:t>Pest Control Products Act</w:t>
      </w:r>
      <w:r>
        <w:rPr>
          <w:noProof/>
          <w:lang w:val="en-US"/>
        </w:rPr>
        <w:t xml:space="preserve">, in </w:t>
      </w:r>
      <w:r w:rsidRPr="002223E5">
        <w:rPr>
          <w:i/>
          <w:noProof/>
          <w:lang w:val="en-US"/>
        </w:rPr>
        <w:t>S.C. 2002, C. 28</w:t>
      </w:r>
      <w:r>
        <w:rPr>
          <w:noProof/>
          <w:lang w:val="en-US"/>
        </w:rPr>
        <w:t>. 2006: Canada.</w:t>
      </w:r>
      <w:bookmarkEnd w:id="24"/>
    </w:p>
    <w:p w:rsidR="002223E5" w:rsidRDefault="002223E5" w:rsidP="002223E5">
      <w:pPr>
        <w:spacing w:after="0" w:line="240" w:lineRule="auto"/>
        <w:ind w:left="720" w:hanging="720"/>
        <w:rPr>
          <w:noProof/>
          <w:lang w:val="en-US"/>
        </w:rPr>
      </w:pPr>
      <w:bookmarkStart w:id="25" w:name="_ENREF_5"/>
      <w:r>
        <w:rPr>
          <w:noProof/>
          <w:lang w:val="en-US"/>
        </w:rPr>
        <w:t>5.</w:t>
      </w:r>
      <w:r>
        <w:rPr>
          <w:noProof/>
          <w:lang w:val="en-US"/>
        </w:rPr>
        <w:tab/>
        <w:t xml:space="preserve">Government of Canada, </w:t>
      </w:r>
      <w:r w:rsidRPr="002223E5">
        <w:rPr>
          <w:i/>
          <w:noProof/>
          <w:lang w:val="en-US"/>
        </w:rPr>
        <w:t>Plant Protection Act (S.C. 1990, c. 22)</w:t>
      </w:r>
      <w:r>
        <w:rPr>
          <w:noProof/>
          <w:lang w:val="en-US"/>
        </w:rPr>
        <w:t xml:space="preserve">, in </w:t>
      </w:r>
      <w:r w:rsidRPr="002223E5">
        <w:rPr>
          <w:i/>
          <w:noProof/>
          <w:lang w:val="en-US"/>
        </w:rPr>
        <w:t>S.C. 1990, c. 22</w:t>
      </w:r>
      <w:r>
        <w:rPr>
          <w:noProof/>
          <w:lang w:val="en-US"/>
        </w:rPr>
        <w:t>. 1990: Canada.</w:t>
      </w:r>
      <w:bookmarkEnd w:id="25"/>
    </w:p>
    <w:p w:rsidR="002223E5" w:rsidRDefault="002223E5" w:rsidP="002223E5">
      <w:pPr>
        <w:spacing w:after="0" w:line="240" w:lineRule="auto"/>
        <w:ind w:left="720" w:hanging="720"/>
        <w:rPr>
          <w:noProof/>
          <w:lang w:val="en-US"/>
        </w:rPr>
      </w:pPr>
      <w:bookmarkStart w:id="26" w:name="_ENREF_6"/>
      <w:r>
        <w:rPr>
          <w:noProof/>
          <w:lang w:val="en-US"/>
        </w:rPr>
        <w:t>6.</w:t>
      </w:r>
      <w:r>
        <w:rPr>
          <w:noProof/>
          <w:lang w:val="en-US"/>
        </w:rPr>
        <w:tab/>
        <w:t xml:space="preserve">Government of Canada, </w:t>
      </w:r>
      <w:r w:rsidRPr="002223E5">
        <w:rPr>
          <w:i/>
          <w:noProof/>
          <w:lang w:val="en-US"/>
        </w:rPr>
        <w:t>Fertilizers Act R.S.C., 1985, c.F-10</w:t>
      </w:r>
      <w:r>
        <w:rPr>
          <w:noProof/>
          <w:lang w:val="en-US"/>
        </w:rPr>
        <w:t xml:space="preserve">, in </w:t>
      </w:r>
      <w:r w:rsidRPr="002223E5">
        <w:rPr>
          <w:i/>
          <w:noProof/>
          <w:lang w:val="en-US"/>
        </w:rPr>
        <w:t>R.S.C., 1985, c.F-10</w:t>
      </w:r>
      <w:r>
        <w:rPr>
          <w:noProof/>
          <w:lang w:val="en-US"/>
        </w:rPr>
        <w:t>. 1985: Canada.</w:t>
      </w:r>
      <w:bookmarkEnd w:id="26"/>
    </w:p>
    <w:p w:rsidR="002223E5" w:rsidRDefault="002223E5" w:rsidP="002223E5">
      <w:pPr>
        <w:spacing w:after="0" w:line="240" w:lineRule="auto"/>
        <w:ind w:left="720" w:hanging="720"/>
        <w:rPr>
          <w:noProof/>
          <w:lang w:val="en-US"/>
        </w:rPr>
      </w:pPr>
      <w:bookmarkStart w:id="27" w:name="_ENREF_7"/>
      <w:r>
        <w:rPr>
          <w:noProof/>
          <w:lang w:val="en-US"/>
        </w:rPr>
        <w:t>7.</w:t>
      </w:r>
      <w:r>
        <w:rPr>
          <w:noProof/>
          <w:lang w:val="en-US"/>
        </w:rPr>
        <w:tab/>
        <w:t xml:space="preserve">Government of Canada, </w:t>
      </w:r>
      <w:r w:rsidRPr="002223E5">
        <w:rPr>
          <w:i/>
          <w:noProof/>
          <w:lang w:val="en-US"/>
        </w:rPr>
        <w:t>Export and Import Permits Act (R.S.C., 1985, c. E-19)</w:t>
      </w:r>
      <w:r>
        <w:rPr>
          <w:noProof/>
          <w:lang w:val="en-US"/>
        </w:rPr>
        <w:t xml:space="preserve">, in </w:t>
      </w:r>
      <w:r w:rsidRPr="002223E5">
        <w:rPr>
          <w:i/>
          <w:noProof/>
          <w:lang w:val="en-US"/>
        </w:rPr>
        <w:t>R.S.C., 1985, c. E-19</w:t>
      </w:r>
      <w:r>
        <w:rPr>
          <w:noProof/>
          <w:lang w:val="en-US"/>
        </w:rPr>
        <w:t>. 1985: Canada.</w:t>
      </w:r>
      <w:bookmarkEnd w:id="27"/>
    </w:p>
    <w:p w:rsidR="002223E5" w:rsidRDefault="002223E5" w:rsidP="002223E5">
      <w:pPr>
        <w:spacing w:after="0" w:line="240" w:lineRule="auto"/>
        <w:ind w:left="720" w:hanging="720"/>
        <w:rPr>
          <w:noProof/>
          <w:lang w:val="en-US"/>
        </w:rPr>
      </w:pPr>
      <w:bookmarkStart w:id="28" w:name="_ENREF_8"/>
      <w:r>
        <w:rPr>
          <w:noProof/>
          <w:lang w:val="en-US"/>
        </w:rPr>
        <w:t>8.</w:t>
      </w:r>
      <w:r>
        <w:rPr>
          <w:noProof/>
          <w:lang w:val="en-US"/>
        </w:rPr>
        <w:tab/>
        <w:t xml:space="preserve">Canadian Food Inspection Agency, </w:t>
      </w:r>
      <w:r w:rsidRPr="002223E5">
        <w:rPr>
          <w:i/>
          <w:noProof/>
          <w:lang w:val="en-US"/>
        </w:rPr>
        <w:t>Containment Standards for Facilities Handling Plant Pests</w:t>
      </w:r>
      <w:r>
        <w:rPr>
          <w:noProof/>
          <w:lang w:val="en-US"/>
        </w:rPr>
        <w:t>, S.B. Office of Biohazard Containment and Safety, Canadian Food Inspection Agency, Editor. 2008, Canadian Food Inspection Agency.</w:t>
      </w:r>
      <w:bookmarkEnd w:id="28"/>
    </w:p>
    <w:p w:rsidR="002223E5" w:rsidRDefault="002223E5" w:rsidP="002223E5">
      <w:pPr>
        <w:spacing w:after="0" w:line="240" w:lineRule="auto"/>
        <w:ind w:left="720" w:hanging="720"/>
        <w:rPr>
          <w:noProof/>
          <w:lang w:val="en-US"/>
        </w:rPr>
      </w:pPr>
      <w:bookmarkStart w:id="29" w:name="_ENREF_9"/>
      <w:r>
        <w:rPr>
          <w:noProof/>
          <w:lang w:val="en-US"/>
        </w:rPr>
        <w:t>9.</w:t>
      </w:r>
      <w:r>
        <w:rPr>
          <w:noProof/>
          <w:lang w:val="en-US"/>
        </w:rPr>
        <w:tab/>
        <w:t xml:space="preserve">PMRA, </w:t>
      </w:r>
      <w:r w:rsidRPr="002223E5">
        <w:rPr>
          <w:i/>
          <w:noProof/>
          <w:lang w:val="en-US"/>
        </w:rPr>
        <w:t>Guidelines for the Registration of Microbial Pest Control Agents and Products</w:t>
      </w:r>
      <w:r>
        <w:rPr>
          <w:noProof/>
          <w:lang w:val="en-US"/>
        </w:rPr>
        <w:t>, Pest Management Regulatory Agency of Health Canada, Editor. 2001, Pest Management Regulatory Agency of Health Canada: Ottawa, ON.</w:t>
      </w:r>
      <w:bookmarkEnd w:id="29"/>
    </w:p>
    <w:p w:rsidR="002223E5" w:rsidRDefault="002223E5" w:rsidP="002223E5">
      <w:pPr>
        <w:spacing w:after="0" w:line="240" w:lineRule="auto"/>
        <w:ind w:left="720" w:hanging="720"/>
        <w:rPr>
          <w:noProof/>
          <w:lang w:val="en-US"/>
        </w:rPr>
      </w:pPr>
      <w:bookmarkStart w:id="30" w:name="_ENREF_10"/>
      <w:r>
        <w:rPr>
          <w:noProof/>
          <w:lang w:val="en-US"/>
        </w:rPr>
        <w:t>10.</w:t>
      </w:r>
      <w:r>
        <w:rPr>
          <w:noProof/>
          <w:lang w:val="en-US"/>
        </w:rPr>
        <w:tab/>
        <w:t xml:space="preserve">Organisation for Economic Co-operation and Development. </w:t>
      </w:r>
      <w:r w:rsidRPr="002223E5">
        <w:rPr>
          <w:i/>
          <w:noProof/>
          <w:lang w:val="en-US"/>
        </w:rPr>
        <w:t>OECD Glossary of Statistical Terms</w:t>
      </w:r>
      <w:r>
        <w:rPr>
          <w:noProof/>
          <w:lang w:val="en-US"/>
        </w:rPr>
        <w:t xml:space="preserve">. 2007 Ongoing [cited 2014 March 3]; Available from: </w:t>
      </w:r>
      <w:hyperlink r:id="rId9" w:history="1">
        <w:r w:rsidRPr="002223E5">
          <w:rPr>
            <w:rStyle w:val="Hyperlink"/>
            <w:noProof/>
            <w:lang w:val="en-US"/>
          </w:rPr>
          <w:t>http://stats.oecd.org/glossary/index.htm</w:t>
        </w:r>
      </w:hyperlink>
      <w:r>
        <w:rPr>
          <w:noProof/>
          <w:lang w:val="en-US"/>
        </w:rPr>
        <w:t>.</w:t>
      </w:r>
      <w:bookmarkEnd w:id="30"/>
    </w:p>
    <w:p w:rsidR="002223E5" w:rsidRDefault="002223E5" w:rsidP="002223E5">
      <w:pPr>
        <w:spacing w:after="0" w:line="240" w:lineRule="auto"/>
        <w:ind w:left="720" w:hanging="720"/>
        <w:rPr>
          <w:noProof/>
          <w:lang w:val="en-US"/>
        </w:rPr>
      </w:pPr>
      <w:bookmarkStart w:id="31" w:name="_ENREF_11"/>
      <w:r>
        <w:rPr>
          <w:noProof/>
          <w:lang w:val="en-US"/>
        </w:rPr>
        <w:t>11.</w:t>
      </w:r>
      <w:r>
        <w:rPr>
          <w:noProof/>
          <w:lang w:val="en-US"/>
        </w:rPr>
        <w:tab/>
        <w:t xml:space="preserve">International Plant Protection Convention, </w:t>
      </w:r>
      <w:r w:rsidRPr="002223E5">
        <w:rPr>
          <w:i/>
          <w:noProof/>
          <w:lang w:val="en-US"/>
        </w:rPr>
        <w:t>International Standards for Phytosanitary Measures 1 to 24 (2005 Edition)</w:t>
      </w:r>
      <w:r>
        <w:rPr>
          <w:noProof/>
          <w:lang w:val="en-US"/>
        </w:rPr>
        <w:t xml:space="preserve">, in </w:t>
      </w:r>
      <w:r w:rsidRPr="002223E5">
        <w:rPr>
          <w:i/>
          <w:noProof/>
          <w:lang w:val="en-US"/>
        </w:rPr>
        <w:t>International Standards for Phytosanitary Measures</w:t>
      </w:r>
      <w:r>
        <w:rPr>
          <w:noProof/>
          <w:lang w:val="en-US"/>
        </w:rPr>
        <w:t>, Food and Agriculture Organization of the United Nations, Editor. 2005, Food and Agriculture Organization of the United Nations: Rome, Italy.</w:t>
      </w:r>
      <w:bookmarkEnd w:id="31"/>
    </w:p>
    <w:p w:rsidR="002223E5" w:rsidRDefault="002223E5" w:rsidP="002223E5">
      <w:pPr>
        <w:spacing w:after="0" w:line="240" w:lineRule="auto"/>
        <w:ind w:left="720" w:hanging="720"/>
        <w:rPr>
          <w:noProof/>
          <w:lang w:val="en-US"/>
        </w:rPr>
      </w:pPr>
      <w:bookmarkStart w:id="32" w:name="_ENREF_12"/>
      <w:r>
        <w:rPr>
          <w:noProof/>
          <w:lang w:val="en-US"/>
        </w:rPr>
        <w:t>12.</w:t>
      </w:r>
      <w:r>
        <w:rPr>
          <w:noProof/>
          <w:lang w:val="en-US"/>
        </w:rPr>
        <w:tab/>
        <w:t xml:space="preserve">National Research Council, </w:t>
      </w:r>
      <w:r w:rsidRPr="002223E5">
        <w:rPr>
          <w:i/>
          <w:noProof/>
          <w:lang w:val="en-US"/>
        </w:rPr>
        <w:t xml:space="preserve">Risk Assessment in the Federal Government: Managing the Process </w:t>
      </w:r>
      <w:r>
        <w:rPr>
          <w:noProof/>
          <w:lang w:val="en-US"/>
        </w:rPr>
        <w:t>N.R. Council, Editor. 1983, National Research Council: Washington, DC.</w:t>
      </w:r>
      <w:bookmarkEnd w:id="32"/>
    </w:p>
    <w:p w:rsidR="002223E5" w:rsidRDefault="002223E5" w:rsidP="002223E5">
      <w:pPr>
        <w:spacing w:after="0" w:line="240" w:lineRule="auto"/>
        <w:ind w:left="720" w:hanging="720"/>
        <w:rPr>
          <w:noProof/>
          <w:lang w:val="en-US"/>
        </w:rPr>
      </w:pPr>
      <w:bookmarkStart w:id="33" w:name="_ENREF_13"/>
      <w:r>
        <w:rPr>
          <w:noProof/>
          <w:lang w:val="en-US"/>
        </w:rPr>
        <w:t>13.</w:t>
      </w:r>
      <w:r>
        <w:rPr>
          <w:noProof/>
          <w:lang w:val="en-US"/>
        </w:rPr>
        <w:tab/>
        <w:t xml:space="preserve">Teng, P.S. and X.B. Yang, </w:t>
      </w:r>
      <w:r w:rsidRPr="002223E5">
        <w:rPr>
          <w:i/>
          <w:noProof/>
          <w:lang w:val="en-US"/>
        </w:rPr>
        <w:t>Biological Impact and Risk Assessment in Plant Pathology.</w:t>
      </w:r>
      <w:r>
        <w:rPr>
          <w:noProof/>
          <w:lang w:val="en-US"/>
        </w:rPr>
        <w:t xml:space="preserve"> Annual Review of Phytopathology, 1993. </w:t>
      </w:r>
      <w:r w:rsidRPr="002223E5">
        <w:rPr>
          <w:b/>
          <w:noProof/>
          <w:lang w:val="en-US"/>
        </w:rPr>
        <w:t>31</w:t>
      </w:r>
      <w:r>
        <w:rPr>
          <w:noProof/>
          <w:lang w:val="en-US"/>
        </w:rPr>
        <w:t>(1): p. 495-521.</w:t>
      </w:r>
      <w:bookmarkEnd w:id="33"/>
    </w:p>
    <w:p w:rsidR="002223E5" w:rsidRDefault="002223E5" w:rsidP="002223E5">
      <w:pPr>
        <w:spacing w:after="0" w:line="240" w:lineRule="auto"/>
        <w:ind w:left="720" w:hanging="720"/>
        <w:rPr>
          <w:noProof/>
          <w:lang w:val="en-US"/>
        </w:rPr>
      </w:pPr>
      <w:bookmarkStart w:id="34" w:name="_ENREF_14"/>
      <w:r>
        <w:rPr>
          <w:noProof/>
          <w:lang w:val="en-US"/>
        </w:rPr>
        <w:t>14.</w:t>
      </w:r>
      <w:r>
        <w:rPr>
          <w:noProof/>
          <w:lang w:val="en-US"/>
        </w:rPr>
        <w:tab/>
        <w:t xml:space="preserve">National Research Council, </w:t>
      </w:r>
      <w:r w:rsidRPr="002223E5">
        <w:rPr>
          <w:i/>
          <w:noProof/>
          <w:lang w:val="en-US"/>
        </w:rPr>
        <w:t>Field Testing Genetically Modified Organisms: Framework for Decisions</w:t>
      </w:r>
      <w:r>
        <w:rPr>
          <w:noProof/>
          <w:lang w:val="en-US"/>
        </w:rPr>
        <w:t>. 1989, National Research Council: Washington DC, USA.</w:t>
      </w:r>
      <w:bookmarkEnd w:id="34"/>
    </w:p>
    <w:p w:rsidR="002223E5" w:rsidRDefault="002223E5" w:rsidP="002223E5">
      <w:pPr>
        <w:spacing w:after="0" w:line="240" w:lineRule="auto"/>
        <w:ind w:left="720" w:hanging="720"/>
        <w:rPr>
          <w:noProof/>
          <w:lang w:val="en-US"/>
        </w:rPr>
      </w:pPr>
      <w:bookmarkStart w:id="35" w:name="_ENREF_15"/>
      <w:r>
        <w:rPr>
          <w:noProof/>
          <w:lang w:val="en-US"/>
        </w:rPr>
        <w:t>15.</w:t>
      </w:r>
      <w:r>
        <w:rPr>
          <w:noProof/>
          <w:lang w:val="en-US"/>
        </w:rPr>
        <w:tab/>
        <w:t xml:space="preserve">Dhingra, O.D. and J.B. Sinclair, </w:t>
      </w:r>
      <w:r w:rsidRPr="002223E5">
        <w:rPr>
          <w:i/>
          <w:noProof/>
          <w:lang w:val="en-US"/>
        </w:rPr>
        <w:t>Basic Plant Pathology Methods</w:t>
      </w:r>
      <w:r>
        <w:rPr>
          <w:noProof/>
          <w:lang w:val="en-US"/>
        </w:rPr>
        <w:t>. 1st ed. 1985, Boca Raton, FL USA: CRC Press.</w:t>
      </w:r>
      <w:bookmarkEnd w:id="35"/>
    </w:p>
    <w:p w:rsidR="002223E5" w:rsidRDefault="002223E5" w:rsidP="002223E5">
      <w:pPr>
        <w:spacing w:after="0" w:line="240" w:lineRule="auto"/>
        <w:ind w:left="720" w:hanging="720"/>
        <w:rPr>
          <w:noProof/>
          <w:lang w:val="en-US"/>
        </w:rPr>
      </w:pPr>
      <w:bookmarkStart w:id="36" w:name="_ENREF_16"/>
      <w:r>
        <w:rPr>
          <w:noProof/>
          <w:lang w:val="en-US"/>
        </w:rPr>
        <w:t>16.</w:t>
      </w:r>
      <w:r>
        <w:rPr>
          <w:noProof/>
          <w:lang w:val="en-US"/>
        </w:rPr>
        <w:tab/>
        <w:t xml:space="preserve">Waller, J.M., J.M. Lenné, and S.J. Waller, </w:t>
      </w:r>
      <w:r w:rsidRPr="002223E5">
        <w:rPr>
          <w:i/>
          <w:noProof/>
          <w:lang w:val="en-US"/>
        </w:rPr>
        <w:t>Plant pathologist's pocketbook</w:t>
      </w:r>
      <w:r>
        <w:rPr>
          <w:noProof/>
          <w:lang w:val="en-US"/>
        </w:rPr>
        <w:t>. 2002: CABI.</w:t>
      </w:r>
      <w:bookmarkEnd w:id="36"/>
    </w:p>
    <w:p w:rsidR="002223E5" w:rsidRDefault="002223E5" w:rsidP="002223E5">
      <w:pPr>
        <w:spacing w:after="0" w:line="240" w:lineRule="auto"/>
        <w:ind w:left="720" w:hanging="720"/>
        <w:rPr>
          <w:noProof/>
          <w:lang w:val="en-US"/>
        </w:rPr>
      </w:pPr>
      <w:bookmarkStart w:id="37" w:name="_ENREF_17"/>
      <w:r>
        <w:rPr>
          <w:noProof/>
          <w:lang w:val="en-US"/>
        </w:rPr>
        <w:t>17.</w:t>
      </w:r>
      <w:r>
        <w:rPr>
          <w:noProof/>
          <w:lang w:val="en-US"/>
        </w:rPr>
        <w:tab/>
        <w:t xml:space="preserve">Singleton, L.L., J.D. Mihail, and C.M. Rush, </w:t>
      </w:r>
      <w:r w:rsidRPr="002223E5">
        <w:rPr>
          <w:i/>
          <w:noProof/>
          <w:lang w:val="en-US"/>
        </w:rPr>
        <w:t>Methods for research on soilborne phytopathogenic fungi</w:t>
      </w:r>
      <w:r>
        <w:rPr>
          <w:noProof/>
          <w:lang w:val="en-US"/>
        </w:rPr>
        <w:t>. 1992: American Phytopathological Society.</w:t>
      </w:r>
      <w:bookmarkEnd w:id="37"/>
    </w:p>
    <w:p w:rsidR="002223E5" w:rsidRDefault="002223E5" w:rsidP="002223E5">
      <w:pPr>
        <w:spacing w:after="0" w:line="240" w:lineRule="auto"/>
        <w:ind w:left="720" w:hanging="720"/>
        <w:rPr>
          <w:noProof/>
          <w:lang w:val="en-US"/>
        </w:rPr>
      </w:pPr>
      <w:bookmarkStart w:id="38" w:name="_ENREF_18"/>
      <w:r>
        <w:rPr>
          <w:noProof/>
          <w:lang w:val="en-US"/>
        </w:rPr>
        <w:t>18.</w:t>
      </w:r>
      <w:r>
        <w:rPr>
          <w:noProof/>
          <w:lang w:val="en-US"/>
        </w:rPr>
        <w:tab/>
        <w:t xml:space="preserve">Public Health Agency of Canada, </w:t>
      </w:r>
      <w:r w:rsidRPr="002223E5">
        <w:rPr>
          <w:i/>
          <w:noProof/>
          <w:lang w:val="en-US"/>
        </w:rPr>
        <w:t>Canadian Biosafety Standards and Guidelines</w:t>
      </w:r>
      <w:r>
        <w:rPr>
          <w:noProof/>
          <w:lang w:val="en-US"/>
        </w:rPr>
        <w:t>, P.H.A.o. Canada, Editor. 2013, Public Health Agency of Canada: Ottawa, ON.</w:t>
      </w:r>
      <w:bookmarkEnd w:id="38"/>
    </w:p>
    <w:p w:rsidR="002223E5" w:rsidRDefault="002223E5" w:rsidP="002223E5">
      <w:pPr>
        <w:spacing w:after="0" w:line="240" w:lineRule="auto"/>
        <w:ind w:left="720" w:hanging="720"/>
        <w:rPr>
          <w:noProof/>
          <w:lang w:val="en-US"/>
        </w:rPr>
      </w:pPr>
      <w:bookmarkStart w:id="39" w:name="_ENREF_19"/>
      <w:r>
        <w:rPr>
          <w:noProof/>
          <w:lang w:val="en-US"/>
        </w:rPr>
        <w:t>19.</w:t>
      </w:r>
      <w:r>
        <w:rPr>
          <w:noProof/>
          <w:lang w:val="en-US"/>
        </w:rPr>
        <w:tab/>
        <w:t xml:space="preserve">Janda, J.M. and S.L. Abbott, </w:t>
      </w:r>
      <w:r w:rsidRPr="002223E5">
        <w:rPr>
          <w:i/>
          <w:noProof/>
          <w:lang w:val="en-US"/>
        </w:rPr>
        <w:t>16S rRNA gene sequencing for bacterial identification in the diagnostic laboratory: pluses, perils, and pitfalls.</w:t>
      </w:r>
      <w:r>
        <w:rPr>
          <w:noProof/>
          <w:lang w:val="en-US"/>
        </w:rPr>
        <w:t xml:space="preserve"> Journal of clinical microbiology, 2007. </w:t>
      </w:r>
      <w:r w:rsidRPr="002223E5">
        <w:rPr>
          <w:b/>
          <w:noProof/>
          <w:lang w:val="en-US"/>
        </w:rPr>
        <w:t>45</w:t>
      </w:r>
      <w:r>
        <w:rPr>
          <w:noProof/>
          <w:lang w:val="en-US"/>
        </w:rPr>
        <w:t>(9): p. 2761-2764.</w:t>
      </w:r>
      <w:bookmarkEnd w:id="39"/>
    </w:p>
    <w:p w:rsidR="002223E5" w:rsidRDefault="002223E5" w:rsidP="002223E5">
      <w:pPr>
        <w:spacing w:after="0" w:line="240" w:lineRule="auto"/>
        <w:ind w:left="720" w:hanging="720"/>
        <w:rPr>
          <w:noProof/>
          <w:lang w:val="en-US"/>
        </w:rPr>
      </w:pPr>
      <w:bookmarkStart w:id="40" w:name="_ENREF_20"/>
      <w:r>
        <w:rPr>
          <w:noProof/>
          <w:lang w:val="en-US"/>
        </w:rPr>
        <w:t>20.</w:t>
      </w:r>
      <w:r>
        <w:rPr>
          <w:noProof/>
          <w:lang w:val="en-US"/>
        </w:rPr>
        <w:tab/>
        <w:t xml:space="preserve">Brisse, S., et al., </w:t>
      </w:r>
      <w:r w:rsidRPr="002223E5">
        <w:rPr>
          <w:i/>
          <w:noProof/>
          <w:lang w:val="en-US"/>
        </w:rPr>
        <w:t>Distinguishing species of the Burkholderia cepacia complex and Burkholderia gladioli by automated ribotyping.</w:t>
      </w:r>
      <w:r>
        <w:rPr>
          <w:noProof/>
          <w:lang w:val="en-US"/>
        </w:rPr>
        <w:t xml:space="preserve"> Journal of clinical microbiology, 2000. </w:t>
      </w:r>
      <w:r w:rsidRPr="002223E5">
        <w:rPr>
          <w:b/>
          <w:noProof/>
          <w:lang w:val="en-US"/>
        </w:rPr>
        <w:t>38</w:t>
      </w:r>
      <w:r>
        <w:rPr>
          <w:noProof/>
          <w:lang w:val="en-US"/>
        </w:rPr>
        <w:t>(5): p. 1876-1884.</w:t>
      </w:r>
      <w:bookmarkEnd w:id="40"/>
    </w:p>
    <w:p w:rsidR="002223E5" w:rsidRDefault="002223E5" w:rsidP="002223E5">
      <w:pPr>
        <w:spacing w:after="0" w:line="240" w:lineRule="auto"/>
        <w:ind w:left="720" w:hanging="720"/>
        <w:rPr>
          <w:noProof/>
          <w:lang w:val="en-US"/>
        </w:rPr>
      </w:pPr>
      <w:bookmarkStart w:id="41" w:name="_ENREF_21"/>
      <w:r>
        <w:rPr>
          <w:noProof/>
          <w:lang w:val="en-US"/>
        </w:rPr>
        <w:t>21.</w:t>
      </w:r>
      <w:r>
        <w:rPr>
          <w:noProof/>
          <w:lang w:val="en-US"/>
        </w:rPr>
        <w:tab/>
        <w:t xml:space="preserve">Healy, M., et al., </w:t>
      </w:r>
      <w:r w:rsidRPr="002223E5">
        <w:rPr>
          <w:i/>
          <w:noProof/>
          <w:lang w:val="en-US"/>
        </w:rPr>
        <w:t>Microbial DNA typing by automated repetitive-sequence-based PCR.</w:t>
      </w:r>
      <w:r>
        <w:rPr>
          <w:noProof/>
          <w:lang w:val="en-US"/>
        </w:rPr>
        <w:t xml:space="preserve"> Journal of clinical microbiology, 2005. </w:t>
      </w:r>
      <w:r w:rsidRPr="002223E5">
        <w:rPr>
          <w:b/>
          <w:noProof/>
          <w:lang w:val="en-US"/>
        </w:rPr>
        <w:t>43</w:t>
      </w:r>
      <w:r>
        <w:rPr>
          <w:noProof/>
          <w:lang w:val="en-US"/>
        </w:rPr>
        <w:t>(1): p. 199-207.</w:t>
      </w:r>
      <w:bookmarkEnd w:id="41"/>
    </w:p>
    <w:p w:rsidR="002223E5" w:rsidRDefault="002223E5" w:rsidP="002223E5">
      <w:pPr>
        <w:spacing w:after="0" w:line="240" w:lineRule="auto"/>
        <w:ind w:left="720" w:hanging="720"/>
        <w:rPr>
          <w:noProof/>
          <w:lang w:val="en-US"/>
        </w:rPr>
      </w:pPr>
      <w:bookmarkStart w:id="42" w:name="_ENREF_22"/>
      <w:r>
        <w:rPr>
          <w:noProof/>
          <w:lang w:val="en-US"/>
        </w:rPr>
        <w:t>22.</w:t>
      </w:r>
      <w:r>
        <w:rPr>
          <w:noProof/>
          <w:lang w:val="en-US"/>
        </w:rPr>
        <w:tab/>
        <w:t xml:space="preserve">Mitchell, A., </w:t>
      </w:r>
      <w:r w:rsidRPr="002223E5">
        <w:rPr>
          <w:i/>
          <w:noProof/>
          <w:lang w:val="en-US"/>
        </w:rPr>
        <w:t>DNA barcoding demystified.</w:t>
      </w:r>
      <w:r>
        <w:rPr>
          <w:noProof/>
          <w:lang w:val="en-US"/>
        </w:rPr>
        <w:t xml:space="preserve"> Australian Journal of Entomology, 2008. </w:t>
      </w:r>
      <w:r w:rsidRPr="002223E5">
        <w:rPr>
          <w:b/>
          <w:noProof/>
          <w:lang w:val="en-US"/>
        </w:rPr>
        <w:t>47</w:t>
      </w:r>
      <w:r>
        <w:rPr>
          <w:noProof/>
          <w:lang w:val="en-US"/>
        </w:rPr>
        <w:t>(3): p. 169-173.</w:t>
      </w:r>
      <w:bookmarkEnd w:id="42"/>
    </w:p>
    <w:p w:rsidR="002223E5" w:rsidRDefault="002223E5" w:rsidP="002223E5">
      <w:pPr>
        <w:spacing w:after="0" w:line="240" w:lineRule="auto"/>
        <w:ind w:left="720" w:hanging="720"/>
        <w:rPr>
          <w:noProof/>
          <w:lang w:val="en-US"/>
        </w:rPr>
      </w:pPr>
      <w:bookmarkStart w:id="43" w:name="_ENREF_23"/>
      <w:r>
        <w:rPr>
          <w:noProof/>
          <w:lang w:val="en-US"/>
        </w:rPr>
        <w:t>23.</w:t>
      </w:r>
      <w:r>
        <w:rPr>
          <w:noProof/>
          <w:lang w:val="en-US"/>
        </w:rPr>
        <w:tab/>
        <w:t xml:space="preserve">Iwen, P.C., S.H. Hinrichs, and M.E. Rupp, </w:t>
      </w:r>
      <w:r w:rsidRPr="002223E5">
        <w:rPr>
          <w:i/>
          <w:noProof/>
          <w:lang w:val="en-US"/>
        </w:rPr>
        <w:t>Utilization of the internal transcribed spacer regions as molecular targets to detect and identify human fungal pathogens.</w:t>
      </w:r>
      <w:r>
        <w:rPr>
          <w:noProof/>
          <w:lang w:val="en-US"/>
        </w:rPr>
        <w:t xml:space="preserve"> Medical Mycology, 2002. </w:t>
      </w:r>
      <w:r w:rsidRPr="002223E5">
        <w:rPr>
          <w:b/>
          <w:noProof/>
          <w:lang w:val="en-US"/>
        </w:rPr>
        <w:t>40</w:t>
      </w:r>
      <w:r>
        <w:rPr>
          <w:noProof/>
          <w:lang w:val="en-US"/>
        </w:rPr>
        <w:t>(1): p. 87-109.</w:t>
      </w:r>
      <w:bookmarkEnd w:id="43"/>
    </w:p>
    <w:p w:rsidR="002223E5" w:rsidRDefault="002223E5" w:rsidP="002223E5">
      <w:pPr>
        <w:spacing w:after="0" w:line="240" w:lineRule="auto"/>
        <w:ind w:left="720" w:hanging="720"/>
        <w:rPr>
          <w:noProof/>
          <w:lang w:val="en-US"/>
        </w:rPr>
      </w:pPr>
      <w:bookmarkStart w:id="44" w:name="_ENREF_24"/>
      <w:r>
        <w:rPr>
          <w:noProof/>
          <w:lang w:val="en-US"/>
        </w:rPr>
        <w:t>24.</w:t>
      </w:r>
      <w:r>
        <w:rPr>
          <w:noProof/>
          <w:lang w:val="en-US"/>
        </w:rPr>
        <w:tab/>
        <w:t xml:space="preserve">Fox, A., </w:t>
      </w:r>
      <w:r w:rsidRPr="002223E5">
        <w:rPr>
          <w:i/>
          <w:noProof/>
          <w:lang w:val="en-US"/>
        </w:rPr>
        <w:t>Mass spectrometry for species or strain identification after culture or without culture: past, present, and future.</w:t>
      </w:r>
      <w:r>
        <w:rPr>
          <w:noProof/>
          <w:lang w:val="en-US"/>
        </w:rPr>
        <w:t xml:space="preserve"> Journal of clinical microbiology, 2006. </w:t>
      </w:r>
      <w:r w:rsidRPr="002223E5">
        <w:rPr>
          <w:b/>
          <w:noProof/>
          <w:lang w:val="en-US"/>
        </w:rPr>
        <w:t>44</w:t>
      </w:r>
      <w:r>
        <w:rPr>
          <w:noProof/>
          <w:lang w:val="en-US"/>
        </w:rPr>
        <w:t>(8): p. 2677-2680.</w:t>
      </w:r>
      <w:bookmarkEnd w:id="44"/>
    </w:p>
    <w:p w:rsidR="002223E5" w:rsidRDefault="002223E5" w:rsidP="002223E5">
      <w:pPr>
        <w:spacing w:after="0" w:line="240" w:lineRule="auto"/>
        <w:ind w:left="720" w:hanging="720"/>
        <w:rPr>
          <w:noProof/>
          <w:lang w:val="en-US"/>
        </w:rPr>
      </w:pPr>
      <w:bookmarkStart w:id="45" w:name="_ENREF_25"/>
      <w:r>
        <w:rPr>
          <w:noProof/>
          <w:lang w:val="en-US"/>
        </w:rPr>
        <w:t>25.</w:t>
      </w:r>
      <w:r>
        <w:rPr>
          <w:noProof/>
          <w:lang w:val="en-US"/>
        </w:rPr>
        <w:tab/>
        <w:t xml:space="preserve">Mazzeo, M.F., et al., </w:t>
      </w:r>
      <w:r w:rsidRPr="002223E5">
        <w:rPr>
          <w:i/>
          <w:noProof/>
          <w:lang w:val="en-US"/>
        </w:rPr>
        <w:t>Matrix-assisted laser desorption ionization-time of flight mass spectrometry for the discrimination of food-borne microorganisms.</w:t>
      </w:r>
      <w:r>
        <w:rPr>
          <w:noProof/>
          <w:lang w:val="en-US"/>
        </w:rPr>
        <w:t xml:space="preserve"> Applied and Environmental Microbiology, 2006. </w:t>
      </w:r>
      <w:r w:rsidRPr="002223E5">
        <w:rPr>
          <w:b/>
          <w:noProof/>
          <w:lang w:val="en-US"/>
        </w:rPr>
        <w:t>72</w:t>
      </w:r>
      <w:r>
        <w:rPr>
          <w:noProof/>
          <w:lang w:val="en-US"/>
        </w:rPr>
        <w:t>(2): p. 1180-1189.</w:t>
      </w:r>
      <w:bookmarkEnd w:id="45"/>
    </w:p>
    <w:p w:rsidR="002223E5" w:rsidRDefault="002223E5" w:rsidP="002223E5">
      <w:pPr>
        <w:spacing w:after="0" w:line="240" w:lineRule="auto"/>
        <w:ind w:left="720" w:hanging="720"/>
        <w:rPr>
          <w:noProof/>
          <w:lang w:val="en-US"/>
        </w:rPr>
      </w:pPr>
      <w:bookmarkStart w:id="46" w:name="_ENREF_26"/>
      <w:r>
        <w:rPr>
          <w:noProof/>
          <w:lang w:val="en-US"/>
        </w:rPr>
        <w:t>26.</w:t>
      </w:r>
      <w:r>
        <w:rPr>
          <w:noProof/>
          <w:lang w:val="en-US"/>
        </w:rPr>
        <w:tab/>
        <w:t xml:space="preserve">Maquelin, K., et al., </w:t>
      </w:r>
      <w:r w:rsidRPr="002223E5">
        <w:rPr>
          <w:i/>
          <w:noProof/>
          <w:lang w:val="en-US"/>
        </w:rPr>
        <w:t>Identification of medically relevant microorganisms by vibrational spectroscopy.</w:t>
      </w:r>
      <w:r>
        <w:rPr>
          <w:noProof/>
          <w:lang w:val="en-US"/>
        </w:rPr>
        <w:t xml:space="preserve"> Journal of microbiological methods, 2002. </w:t>
      </w:r>
      <w:r w:rsidRPr="002223E5">
        <w:rPr>
          <w:b/>
          <w:noProof/>
          <w:lang w:val="en-US"/>
        </w:rPr>
        <w:t>51</w:t>
      </w:r>
      <w:r>
        <w:rPr>
          <w:noProof/>
          <w:lang w:val="en-US"/>
        </w:rPr>
        <w:t>(3): p. 255-271.</w:t>
      </w:r>
      <w:bookmarkEnd w:id="46"/>
    </w:p>
    <w:p w:rsidR="002223E5" w:rsidRDefault="002223E5" w:rsidP="002223E5">
      <w:pPr>
        <w:spacing w:after="0" w:line="240" w:lineRule="auto"/>
        <w:ind w:left="720" w:hanging="720"/>
        <w:rPr>
          <w:noProof/>
          <w:lang w:val="en-US"/>
        </w:rPr>
      </w:pPr>
      <w:bookmarkStart w:id="47" w:name="_ENREF_27"/>
      <w:r>
        <w:rPr>
          <w:noProof/>
          <w:lang w:val="en-US"/>
        </w:rPr>
        <w:t>27.</w:t>
      </w:r>
      <w:r>
        <w:rPr>
          <w:noProof/>
          <w:lang w:val="en-US"/>
        </w:rPr>
        <w:tab/>
        <w:t xml:space="preserve">Chu, P.W.G., et al., </w:t>
      </w:r>
      <w:r w:rsidRPr="002223E5">
        <w:rPr>
          <w:i/>
          <w:noProof/>
          <w:lang w:val="en-US"/>
        </w:rPr>
        <w:t>New approaches to the detection of microbial plant pathogens.</w:t>
      </w:r>
      <w:r>
        <w:rPr>
          <w:noProof/>
          <w:lang w:val="en-US"/>
        </w:rPr>
        <w:t xml:space="preserve"> Biotechnology and Genetic Engineering Reviews, 1989. </w:t>
      </w:r>
      <w:r w:rsidRPr="002223E5">
        <w:rPr>
          <w:b/>
          <w:noProof/>
          <w:lang w:val="en-US"/>
        </w:rPr>
        <w:t>7</w:t>
      </w:r>
      <w:r>
        <w:rPr>
          <w:noProof/>
          <w:lang w:val="en-US"/>
        </w:rPr>
        <w:t>(1): p. 45-112.</w:t>
      </w:r>
      <w:bookmarkEnd w:id="47"/>
    </w:p>
    <w:p w:rsidR="002223E5" w:rsidRDefault="002223E5" w:rsidP="002223E5">
      <w:pPr>
        <w:spacing w:after="0" w:line="240" w:lineRule="auto"/>
        <w:ind w:left="720" w:hanging="720"/>
        <w:rPr>
          <w:noProof/>
          <w:lang w:val="en-US"/>
        </w:rPr>
      </w:pPr>
      <w:bookmarkStart w:id="48" w:name="_ENREF_28"/>
      <w:r>
        <w:rPr>
          <w:noProof/>
          <w:lang w:val="en-US"/>
        </w:rPr>
        <w:t>28.</w:t>
      </w:r>
      <w:r>
        <w:rPr>
          <w:noProof/>
          <w:lang w:val="en-US"/>
        </w:rPr>
        <w:tab/>
        <w:t xml:space="preserve">Dugan, F.M., </w:t>
      </w:r>
      <w:r w:rsidRPr="002223E5">
        <w:rPr>
          <w:i/>
          <w:noProof/>
          <w:lang w:val="en-US"/>
        </w:rPr>
        <w:t>The identification of fungi: an illustrated introduction with keys, glossary, and guide to literature</w:t>
      </w:r>
      <w:r>
        <w:rPr>
          <w:noProof/>
          <w:lang w:val="en-US"/>
        </w:rPr>
        <w:t>. 2006: American Phytopathological Society.</w:t>
      </w:r>
      <w:bookmarkEnd w:id="48"/>
    </w:p>
    <w:p w:rsidR="002223E5" w:rsidRDefault="002223E5" w:rsidP="002223E5">
      <w:pPr>
        <w:spacing w:after="0" w:line="240" w:lineRule="auto"/>
        <w:ind w:left="720" w:hanging="720"/>
        <w:rPr>
          <w:noProof/>
          <w:lang w:val="en-US"/>
        </w:rPr>
      </w:pPr>
      <w:bookmarkStart w:id="49" w:name="_ENREF_29"/>
      <w:r>
        <w:rPr>
          <w:noProof/>
          <w:lang w:val="en-US"/>
        </w:rPr>
        <w:t>29.</w:t>
      </w:r>
      <w:r>
        <w:rPr>
          <w:noProof/>
          <w:lang w:val="en-US"/>
        </w:rPr>
        <w:tab/>
        <w:t xml:space="preserve">Whitman, W.B.e.a., </w:t>
      </w:r>
      <w:r w:rsidRPr="002223E5">
        <w:rPr>
          <w:i/>
          <w:noProof/>
          <w:lang w:val="en-US"/>
        </w:rPr>
        <w:t>Bergey’s manual of systematic bacteriology (all volumes)</w:t>
      </w:r>
      <w:r>
        <w:rPr>
          <w:noProof/>
          <w:lang w:val="en-US"/>
        </w:rPr>
        <w:t>. Bergey’s manual of systematic bacteriology. Vol. 3. 2012: Springer.</w:t>
      </w:r>
      <w:bookmarkEnd w:id="49"/>
    </w:p>
    <w:p w:rsidR="002223E5" w:rsidRDefault="002223E5" w:rsidP="002223E5">
      <w:pPr>
        <w:spacing w:after="0" w:line="240" w:lineRule="auto"/>
        <w:ind w:left="720" w:hanging="720"/>
        <w:rPr>
          <w:noProof/>
          <w:lang w:val="en-US"/>
        </w:rPr>
      </w:pPr>
      <w:bookmarkStart w:id="50" w:name="_ENREF_30"/>
      <w:r>
        <w:rPr>
          <w:noProof/>
          <w:lang w:val="en-US"/>
        </w:rPr>
        <w:t>30.</w:t>
      </w:r>
      <w:r>
        <w:rPr>
          <w:noProof/>
          <w:lang w:val="en-US"/>
        </w:rPr>
        <w:tab/>
        <w:t xml:space="preserve">Abel, K. and J.I. Peterson, </w:t>
      </w:r>
      <w:r w:rsidRPr="002223E5">
        <w:rPr>
          <w:i/>
          <w:noProof/>
          <w:lang w:val="en-US"/>
        </w:rPr>
        <w:t>Classification of microorganisms by analysis of chemical composition I. Feasibility of utilizing gas chromatography.</w:t>
      </w:r>
      <w:r>
        <w:rPr>
          <w:noProof/>
          <w:lang w:val="en-US"/>
        </w:rPr>
        <w:t xml:space="preserve"> Journal of bacteriology, 1963. </w:t>
      </w:r>
      <w:r w:rsidRPr="002223E5">
        <w:rPr>
          <w:b/>
          <w:noProof/>
          <w:lang w:val="en-US"/>
        </w:rPr>
        <w:t>85</w:t>
      </w:r>
      <w:r>
        <w:rPr>
          <w:noProof/>
          <w:lang w:val="en-US"/>
        </w:rPr>
        <w:t>(5): p. 1039-1044.</w:t>
      </w:r>
      <w:bookmarkEnd w:id="50"/>
    </w:p>
    <w:p w:rsidR="002223E5" w:rsidRDefault="002223E5" w:rsidP="002223E5">
      <w:pPr>
        <w:spacing w:line="240" w:lineRule="auto"/>
        <w:ind w:left="720" w:hanging="720"/>
        <w:rPr>
          <w:noProof/>
          <w:lang w:val="en-US"/>
        </w:rPr>
      </w:pPr>
      <w:bookmarkStart w:id="51" w:name="_ENREF_31"/>
      <w:r>
        <w:rPr>
          <w:noProof/>
          <w:lang w:val="en-US"/>
        </w:rPr>
        <w:t>31.</w:t>
      </w:r>
      <w:r>
        <w:rPr>
          <w:noProof/>
          <w:lang w:val="en-US"/>
        </w:rPr>
        <w:tab/>
        <w:t xml:space="preserve">Eerola, E. and O.P. Lehtonen, </w:t>
      </w:r>
      <w:r w:rsidRPr="002223E5">
        <w:rPr>
          <w:i/>
          <w:noProof/>
          <w:lang w:val="en-US"/>
        </w:rPr>
        <w:t>Optimal data processing procedure for automatic bacterial identification by gas-liquid chromatography of cellular fatty acids.</w:t>
      </w:r>
      <w:r>
        <w:rPr>
          <w:noProof/>
          <w:lang w:val="en-US"/>
        </w:rPr>
        <w:t xml:space="preserve"> Journal of clinical microbiology, 1988. </w:t>
      </w:r>
      <w:r w:rsidRPr="002223E5">
        <w:rPr>
          <w:b/>
          <w:noProof/>
          <w:lang w:val="en-US"/>
        </w:rPr>
        <w:t>26</w:t>
      </w:r>
      <w:r>
        <w:rPr>
          <w:noProof/>
          <w:lang w:val="en-US"/>
        </w:rPr>
        <w:t>(9): p. 1745-1753.</w:t>
      </w:r>
      <w:bookmarkEnd w:id="51"/>
    </w:p>
    <w:p w:rsidR="002223E5" w:rsidRDefault="002223E5" w:rsidP="002223E5">
      <w:pPr>
        <w:spacing w:line="240" w:lineRule="auto"/>
        <w:rPr>
          <w:noProof/>
          <w:lang w:val="en-US"/>
        </w:rPr>
      </w:pPr>
    </w:p>
    <w:p w:rsidR="007469B8" w:rsidRPr="007F1952" w:rsidRDefault="007469B8" w:rsidP="00E00A0F">
      <w:pPr>
        <w:spacing w:after="0" w:line="240" w:lineRule="auto"/>
      </w:pPr>
      <w:r>
        <w:rPr>
          <w:lang w:val="en-US"/>
        </w:rPr>
        <w:fldChar w:fldCharType="end"/>
      </w:r>
      <w:r w:rsidR="00394B84">
        <w:rPr>
          <w:lang w:val="en-US"/>
        </w:rPr>
        <w:t>Document created: October 2014.</w:t>
      </w:r>
    </w:p>
    <w:sectPr w:rsidR="007469B8" w:rsidRPr="007F1952" w:rsidSect="00625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0D" w:rsidRDefault="000A5F0D" w:rsidP="002C3A59">
      <w:pPr>
        <w:spacing w:after="0" w:line="240" w:lineRule="auto"/>
      </w:pPr>
      <w:r>
        <w:separator/>
      </w:r>
    </w:p>
  </w:endnote>
  <w:endnote w:type="continuationSeparator" w:id="0">
    <w:p w:rsidR="000A5F0D" w:rsidRDefault="000A5F0D" w:rsidP="002C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13462"/>
      <w:docPartObj>
        <w:docPartGallery w:val="Page Numbers (Bottom of Page)"/>
        <w:docPartUnique/>
      </w:docPartObj>
    </w:sdtPr>
    <w:sdtEndPr>
      <w:rPr>
        <w:noProof/>
      </w:rPr>
    </w:sdtEndPr>
    <w:sdtContent>
      <w:p w:rsidR="00394B84" w:rsidRDefault="00394B84">
        <w:pPr>
          <w:pStyle w:val="Footer"/>
          <w:jc w:val="center"/>
        </w:pPr>
        <w:r>
          <w:fldChar w:fldCharType="begin"/>
        </w:r>
        <w:r>
          <w:instrText xml:space="preserve"> PAGE   \* MERGEFORMAT </w:instrText>
        </w:r>
        <w:r>
          <w:fldChar w:fldCharType="separate"/>
        </w:r>
        <w:r w:rsidR="00602F5C">
          <w:rPr>
            <w:noProof/>
          </w:rPr>
          <w:t>1</w:t>
        </w:r>
        <w:r>
          <w:rPr>
            <w:noProof/>
          </w:rPr>
          <w:fldChar w:fldCharType="end"/>
        </w:r>
      </w:p>
    </w:sdtContent>
  </w:sdt>
  <w:p w:rsidR="00394B84" w:rsidRDefault="0039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0D" w:rsidRDefault="000A5F0D" w:rsidP="002C3A59">
      <w:pPr>
        <w:spacing w:after="0" w:line="240" w:lineRule="auto"/>
      </w:pPr>
      <w:r>
        <w:separator/>
      </w:r>
    </w:p>
  </w:footnote>
  <w:footnote w:type="continuationSeparator" w:id="0">
    <w:p w:rsidR="000A5F0D" w:rsidRDefault="000A5F0D" w:rsidP="002C3A59">
      <w:pPr>
        <w:spacing w:after="0" w:line="240" w:lineRule="auto"/>
      </w:pPr>
      <w:r>
        <w:continuationSeparator/>
      </w:r>
    </w:p>
  </w:footnote>
  <w:footnote w:id="1">
    <w:p w:rsidR="000A5F0D" w:rsidRPr="00214ED3" w:rsidRDefault="000A5F0D">
      <w:pPr>
        <w:pStyle w:val="FootnoteText"/>
        <w:rPr>
          <w:lang w:val="en-US"/>
        </w:rPr>
      </w:pPr>
      <w:r>
        <w:rPr>
          <w:rStyle w:val="FootnoteReference"/>
        </w:rPr>
        <w:footnoteRef/>
      </w:r>
      <w:r>
        <w:t xml:space="preserve"> </w:t>
      </w:r>
      <w:r>
        <w:rPr>
          <w:lang w:val="en-US"/>
        </w:rPr>
        <w:t xml:space="preserve">This list was complete at time of drafting; however, other federal Acts and regulations may also apply. </w:t>
      </w:r>
    </w:p>
  </w:footnote>
  <w:footnote w:id="2">
    <w:p w:rsidR="000A5F0D" w:rsidRPr="00214ED3" w:rsidRDefault="000A5F0D">
      <w:pPr>
        <w:pStyle w:val="FootnoteText"/>
        <w:rPr>
          <w:lang w:val="en-US"/>
        </w:rPr>
      </w:pPr>
      <w:r>
        <w:rPr>
          <w:rStyle w:val="FootnoteReference"/>
        </w:rPr>
        <w:footnoteRef/>
      </w:r>
      <w:r>
        <w:t xml:space="preserve"> </w:t>
      </w:r>
      <w:r>
        <w:rPr>
          <w:lang w:val="en-US"/>
        </w:rPr>
        <w:t>A comprehensive list of these is outside of the scope of these guidelines. Researchers are advised to consult with the appropriate regional regulatory authorities.</w:t>
      </w:r>
    </w:p>
  </w:footnote>
  <w:footnote w:id="3">
    <w:p w:rsidR="000A5F0D" w:rsidRPr="0025522A" w:rsidRDefault="000A5F0D" w:rsidP="0025522A">
      <w:pPr>
        <w:pStyle w:val="FootnoteText"/>
      </w:pPr>
      <w:r>
        <w:rPr>
          <w:rStyle w:val="FootnoteReference"/>
        </w:rPr>
        <w:footnoteRef/>
      </w:r>
      <w:r>
        <w:t xml:space="preserve"> </w:t>
      </w:r>
      <w:r w:rsidRPr="0025522A">
        <w:t xml:space="preserve">Note that at the time of drafting, these amendments were being considered but had not yet been approved. Advice on current legislative provisions can be obtained from Environment Canada: </w:t>
      </w:r>
      <w:hyperlink r:id="rId1" w:history="1">
        <w:r w:rsidRPr="0025522A">
          <w:rPr>
            <w:rStyle w:val="Hyperlink"/>
            <w:lang w:val="en-US"/>
          </w:rPr>
          <w:t>http://www.ec.gc.ca/subsnouvelles-newsubs/default.asp?lang=En&amp;n=E621534F-1</w:t>
        </w:r>
      </w:hyperlink>
      <w:r w:rsidRPr="0025522A">
        <w:t xml:space="preserve">. </w:t>
      </w:r>
    </w:p>
    <w:p w:rsidR="000A5F0D" w:rsidRPr="0025522A" w:rsidRDefault="000A5F0D">
      <w:pPr>
        <w:pStyle w:val="FootnoteText"/>
        <w:rPr>
          <w:lang w:val="en-US"/>
        </w:rPr>
      </w:pPr>
    </w:p>
  </w:footnote>
  <w:footnote w:id="4">
    <w:p w:rsidR="000A5F0D" w:rsidRDefault="000A5F0D" w:rsidP="00A916AC">
      <w:pPr>
        <w:pStyle w:val="FootnoteText"/>
      </w:pPr>
      <w:r>
        <w:rPr>
          <w:rStyle w:val="FootnoteReference"/>
        </w:rPr>
        <w:footnoteRef/>
      </w:r>
      <w:r>
        <w:t xml:space="preserve"> </w:t>
      </w:r>
      <w:r>
        <w:rPr>
          <w:lang w:val="en-US"/>
        </w:rPr>
        <w:t xml:space="preserve">A current list of all organisms listed on the DSL may be found here: </w:t>
      </w:r>
      <w:hyperlink r:id="rId2" w:history="1">
        <w:r w:rsidRPr="00F35453">
          <w:rPr>
            <w:rStyle w:val="Hyperlink"/>
            <w:lang w:val="en-US"/>
          </w:rPr>
          <w:t>http://www.ec.gc.ca/subsnouvelles-newsubs/default.asp?lang=En&amp;n=C4E09AE7-1</w:t>
        </w:r>
      </w:hyperlink>
      <w:r>
        <w:rPr>
          <w:lang w:val="en-US"/>
        </w:rPr>
        <w:t xml:space="preserve"> </w:t>
      </w:r>
    </w:p>
  </w:footnote>
  <w:footnote w:id="5">
    <w:p w:rsidR="000A5F0D" w:rsidRDefault="000A5F0D">
      <w:pPr>
        <w:pStyle w:val="FootnoteText"/>
      </w:pPr>
      <w:r>
        <w:rPr>
          <w:rStyle w:val="FootnoteReference"/>
        </w:rPr>
        <w:footnoteRef/>
      </w:r>
      <w:r>
        <w:t xml:space="preserve"> </w:t>
      </w:r>
      <w:r>
        <w:rPr>
          <w:lang w:val="en-US"/>
        </w:rPr>
        <w:t xml:space="preserve">Of note, the persistence of an unmodified microorganism in its natural environment is largely predictable </w:t>
      </w:r>
      <w:r>
        <w:rPr>
          <w:lang w:val="en-US"/>
        </w:rPr>
        <w:fldChar w:fldCharType="begin"/>
      </w:r>
      <w:r>
        <w:rPr>
          <w:lang w:val="en-US"/>
        </w:rPr>
        <w:instrText xml:space="preserve"> ADDIN EN.CITE &lt;EndNote&gt;&lt;Cite&gt;&lt;Author&gt;National Research Council&lt;/Author&gt;&lt;Year&gt;1989&lt;/Year&gt;&lt;RecNum&gt;1332&lt;/RecNum&gt;&lt;DisplayText&gt;[14]&lt;/DisplayText&gt;&lt;record&gt;&lt;rec-number&gt;1332&lt;/rec-number&gt;&lt;foreign-keys&gt;&lt;key app="EN" db-id="arwppdvwa5a2xue5ttppdv2o25d0evt5rrav"&gt;1332&lt;/key&gt;&lt;/foreign-keys&gt;&lt;ref-type name="Report"&gt;27&lt;/ref-type&gt;&lt;contributors&gt;&lt;authors&gt;&lt;author&gt;National Research Council,,&lt;/author&gt;&lt;/authors&gt;&lt;tertiary-authors&gt;&lt;author&gt;National Academies Press&lt;/author&gt;&lt;/tertiary-authors&gt;&lt;/contributors&gt;&lt;titles&gt;&lt;title&gt;Field Testing Genetically Modified Organisms: Framework for Decisions&lt;/title&gt;&lt;/titles&gt;&lt;dates&gt;&lt;year&gt;1989&lt;/year&gt;&lt;/dates&gt;&lt;pub-location&gt;Washington DC, USA&lt;/pub-location&gt;&lt;publisher&gt;National Research Council&lt;/publisher&gt;&lt;urls&gt;&lt;related-urls&gt;&lt;url&gt;http://www.nap.edu/catalog.php?record_id=1431&lt;/url&gt;&lt;/related-urls&gt;&lt;/urls&gt;&lt;/record&gt;&lt;/Cite&gt;&lt;/EndNote&gt;</w:instrText>
      </w:r>
      <w:r>
        <w:rPr>
          <w:lang w:val="en-US"/>
        </w:rPr>
        <w:fldChar w:fldCharType="separate"/>
      </w:r>
      <w:r>
        <w:rPr>
          <w:noProof/>
          <w:lang w:val="en-US"/>
        </w:rPr>
        <w:t>[</w:t>
      </w:r>
      <w:hyperlink w:anchor="_ENREF_14" w:tooltip="National Research Council, 1989 #1332" w:history="1">
        <w:r w:rsidR="002223E5">
          <w:rPr>
            <w:noProof/>
            <w:lang w:val="en-US"/>
          </w:rPr>
          <w:t>14</w:t>
        </w:r>
      </w:hyperlink>
      <w:r>
        <w:rPr>
          <w:noProof/>
          <w:lang w:val="en-US"/>
        </w:rPr>
        <w:t>]</w:t>
      </w:r>
      <w:r>
        <w:rPr>
          <w:lang w:val="en-US"/>
        </w:rPr>
        <w:fldChar w:fldCharType="end"/>
      </w:r>
      <w:r>
        <w:rPr>
          <w:lang w:val="en-US"/>
        </w:rPr>
        <w:t>.</w:t>
      </w:r>
    </w:p>
  </w:footnote>
  <w:footnote w:id="6">
    <w:p w:rsidR="000A5F0D" w:rsidRPr="00214ED3" w:rsidRDefault="000A5F0D">
      <w:pPr>
        <w:pStyle w:val="FootnoteText"/>
        <w:rPr>
          <w:lang w:val="en-US"/>
        </w:rPr>
      </w:pPr>
      <w:r>
        <w:rPr>
          <w:rStyle w:val="FootnoteReference"/>
        </w:rPr>
        <w:footnoteRef/>
      </w:r>
      <w:r>
        <w:t xml:space="preserve"> </w:t>
      </w:r>
      <w:r>
        <w:rPr>
          <w:lang w:val="en-US"/>
        </w:rPr>
        <w:t>Given the low risk</w:t>
      </w:r>
      <w:r w:rsidR="000D657B">
        <w:rPr>
          <w:lang w:val="en-US"/>
        </w:rPr>
        <w:t xml:space="preserve"> profile</w:t>
      </w:r>
      <w:r>
        <w:rPr>
          <w:lang w:val="en-US"/>
        </w:rPr>
        <w:t xml:space="preserve"> of these organisms, it is conceivable that a lot of existing research would not be published in the peer-reviewed literature. Grey literature sources — which include theses, patents, technical reports from government agencies or scientific groups, white papers, and conference reports — may provide more appropriate sources. </w:t>
      </w:r>
    </w:p>
  </w:footnote>
  <w:footnote w:id="7">
    <w:p w:rsidR="000A5F0D" w:rsidRDefault="000A5F0D">
      <w:pPr>
        <w:pStyle w:val="FootnoteText"/>
      </w:pPr>
      <w:r>
        <w:rPr>
          <w:rStyle w:val="FootnoteReference"/>
        </w:rPr>
        <w:footnoteRef/>
      </w:r>
      <w:r>
        <w:t xml:space="preserve"> The application of Koch’s Postulates may be appropriate; however, discussion of methodologies to characterize new pathogen species this is beyond the scope of these guidelines. </w:t>
      </w:r>
    </w:p>
  </w:footnote>
  <w:footnote w:id="8">
    <w:p w:rsidR="000A5F0D" w:rsidRPr="00214ED3" w:rsidRDefault="000A5F0D">
      <w:pPr>
        <w:pStyle w:val="FootnoteText"/>
        <w:rPr>
          <w:lang w:val="en-US"/>
        </w:rPr>
      </w:pPr>
      <w:r>
        <w:rPr>
          <w:rStyle w:val="FootnoteReference"/>
        </w:rPr>
        <w:footnoteRef/>
      </w:r>
      <w:r>
        <w:t xml:space="preserve"> </w:t>
      </w:r>
      <w:r>
        <w:rPr>
          <w:lang w:val="en-US"/>
        </w:rPr>
        <w:t xml:space="preserve">For example, </w:t>
      </w:r>
      <w:r w:rsidRPr="00146737">
        <w:t xml:space="preserve">number of conidia per ml or weight of dried </w:t>
      </w:r>
      <w:proofErr w:type="spellStart"/>
      <w:r w:rsidRPr="00146737">
        <w:t>sclerotia</w:t>
      </w:r>
      <w:proofErr w:type="spellEnd"/>
      <w:r w:rsidRPr="00146737">
        <w:t xml:space="preserve"> per gram of grain</w:t>
      </w:r>
    </w:p>
  </w:footnote>
  <w:footnote w:id="9">
    <w:p w:rsidR="000A5F0D" w:rsidRPr="00F2459F" w:rsidRDefault="000A5F0D" w:rsidP="00BD3751">
      <w:pPr>
        <w:pStyle w:val="FootnoteText"/>
        <w:rPr>
          <w:lang w:val="en-US"/>
        </w:rPr>
      </w:pPr>
      <w:r>
        <w:rPr>
          <w:rStyle w:val="FootnoteReference"/>
        </w:rPr>
        <w:footnoteRef/>
      </w:r>
      <w:r>
        <w:t xml:space="preserve"> Current affiliation: Southwest Florida Research and Education Center.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D3E"/>
    <w:multiLevelType w:val="hybridMultilevel"/>
    <w:tmpl w:val="84A05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B12297"/>
    <w:multiLevelType w:val="hybridMultilevel"/>
    <w:tmpl w:val="59B629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E71394D"/>
    <w:multiLevelType w:val="hybridMultilevel"/>
    <w:tmpl w:val="0EFE6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677790"/>
    <w:multiLevelType w:val="hybridMultilevel"/>
    <w:tmpl w:val="AF747162"/>
    <w:lvl w:ilvl="0" w:tplc="1B56081E">
      <w:start w:val="2"/>
      <w:numFmt w:val="bullet"/>
      <w:lvlText w:val="-"/>
      <w:lvlJc w:val="left"/>
      <w:pPr>
        <w:ind w:left="108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9207F5"/>
    <w:multiLevelType w:val="hybridMultilevel"/>
    <w:tmpl w:val="C2B6710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16B853F1"/>
    <w:multiLevelType w:val="hybridMultilevel"/>
    <w:tmpl w:val="FBFA72CC"/>
    <w:lvl w:ilvl="0" w:tplc="1B56081E">
      <w:start w:val="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D6186A"/>
    <w:multiLevelType w:val="hybridMultilevel"/>
    <w:tmpl w:val="7E74871A"/>
    <w:lvl w:ilvl="0" w:tplc="1B56081E">
      <w:start w:val="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5D3AAF"/>
    <w:multiLevelType w:val="hybridMultilevel"/>
    <w:tmpl w:val="05109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2572EED"/>
    <w:multiLevelType w:val="hybridMultilevel"/>
    <w:tmpl w:val="E9CCE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145A98"/>
    <w:multiLevelType w:val="hybridMultilevel"/>
    <w:tmpl w:val="9DDC81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9EA421A"/>
    <w:multiLevelType w:val="hybridMultilevel"/>
    <w:tmpl w:val="36EE9BF8"/>
    <w:lvl w:ilvl="0" w:tplc="1B56081E">
      <w:start w:val="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D579D9"/>
    <w:multiLevelType w:val="hybridMultilevel"/>
    <w:tmpl w:val="5AACDF0A"/>
    <w:lvl w:ilvl="0" w:tplc="10090011">
      <w:start w:val="1"/>
      <w:numFmt w:val="decimal"/>
      <w:lvlText w:val="%1)"/>
      <w:lvlJc w:val="left"/>
      <w:pPr>
        <w:tabs>
          <w:tab w:val="num" w:pos="720"/>
        </w:tabs>
        <w:ind w:left="720" w:hanging="360"/>
      </w:pPr>
      <w:rPr>
        <w:rFonts w:cs="Times New Roman" w:hint="default"/>
      </w:rPr>
    </w:lvl>
    <w:lvl w:ilvl="1" w:tplc="1B56081E">
      <w:start w:val="2"/>
      <w:numFmt w:val="bullet"/>
      <w:lvlText w:val="-"/>
      <w:lvlJc w:val="left"/>
      <w:pPr>
        <w:tabs>
          <w:tab w:val="num" w:pos="1440"/>
        </w:tabs>
        <w:ind w:left="1440" w:hanging="360"/>
      </w:pPr>
      <w:rPr>
        <w:rFonts w:ascii="Calibri" w:eastAsia="Times New Roman" w:hAnsi="Calibri" w:hint="default"/>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313D24F7"/>
    <w:multiLevelType w:val="hybridMultilevel"/>
    <w:tmpl w:val="B40A97F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57A4F15"/>
    <w:multiLevelType w:val="hybridMultilevel"/>
    <w:tmpl w:val="2D86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6DE0FD7"/>
    <w:multiLevelType w:val="hybridMultilevel"/>
    <w:tmpl w:val="BF408C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87E0AEE"/>
    <w:multiLevelType w:val="hybridMultilevel"/>
    <w:tmpl w:val="0F8CAF7C"/>
    <w:lvl w:ilvl="0" w:tplc="1B56081E">
      <w:start w:val="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8E14657"/>
    <w:multiLevelType w:val="hybridMultilevel"/>
    <w:tmpl w:val="71F65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C80115B"/>
    <w:multiLevelType w:val="hybridMultilevel"/>
    <w:tmpl w:val="D148311A"/>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4CE06634"/>
    <w:multiLevelType w:val="hybridMultilevel"/>
    <w:tmpl w:val="65828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E0964C9"/>
    <w:multiLevelType w:val="hybridMultilevel"/>
    <w:tmpl w:val="D148311A"/>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52D15688"/>
    <w:multiLevelType w:val="hybridMultilevel"/>
    <w:tmpl w:val="D1C4D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3C622D8"/>
    <w:multiLevelType w:val="hybridMultilevel"/>
    <w:tmpl w:val="D0A6EB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DF303A0"/>
    <w:multiLevelType w:val="hybridMultilevel"/>
    <w:tmpl w:val="606C67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913BC0"/>
    <w:multiLevelType w:val="hybridMultilevel"/>
    <w:tmpl w:val="D1F8A58C"/>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5EEF2F28"/>
    <w:multiLevelType w:val="hybridMultilevel"/>
    <w:tmpl w:val="B59A4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409797C"/>
    <w:multiLevelType w:val="hybridMultilevel"/>
    <w:tmpl w:val="A79465F2"/>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nsid w:val="64816967"/>
    <w:multiLevelType w:val="hybridMultilevel"/>
    <w:tmpl w:val="E7C2B2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4A7193F"/>
    <w:multiLevelType w:val="hybridMultilevel"/>
    <w:tmpl w:val="54466920"/>
    <w:lvl w:ilvl="0" w:tplc="1B56081E">
      <w:start w:val="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98D26F5"/>
    <w:multiLevelType w:val="hybridMultilevel"/>
    <w:tmpl w:val="68AAA1AC"/>
    <w:lvl w:ilvl="0" w:tplc="1B56081E">
      <w:start w:val="2"/>
      <w:numFmt w:val="bullet"/>
      <w:lvlText w:val="-"/>
      <w:lvlJc w:val="left"/>
      <w:pPr>
        <w:ind w:left="108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D9B1F0F"/>
    <w:multiLevelType w:val="hybridMultilevel"/>
    <w:tmpl w:val="3E3C09E2"/>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nsid w:val="6DA7635B"/>
    <w:multiLevelType w:val="hybridMultilevel"/>
    <w:tmpl w:val="E99CB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E0F7FAC"/>
    <w:multiLevelType w:val="hybridMultilevel"/>
    <w:tmpl w:val="B40A97FC"/>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nsid w:val="6FFD1D15"/>
    <w:multiLevelType w:val="hybridMultilevel"/>
    <w:tmpl w:val="E348038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nsid w:val="70140FD8"/>
    <w:multiLevelType w:val="hybridMultilevel"/>
    <w:tmpl w:val="E94A5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B3320B6"/>
    <w:multiLevelType w:val="hybridMultilevel"/>
    <w:tmpl w:val="D90AFEE4"/>
    <w:lvl w:ilvl="0" w:tplc="1B56081E">
      <w:start w:val="2"/>
      <w:numFmt w:val="bullet"/>
      <w:lvlText w:val="-"/>
      <w:lvlJc w:val="left"/>
      <w:pPr>
        <w:ind w:left="1080" w:hanging="360"/>
      </w:pPr>
      <w:rPr>
        <w:rFonts w:ascii="Calibri" w:eastAsia="Times New Roman" w:hAnsi="Calibri" w:hint="default"/>
      </w:rPr>
    </w:lvl>
    <w:lvl w:ilvl="1" w:tplc="10090003">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7C215429"/>
    <w:multiLevelType w:val="hybridMultilevel"/>
    <w:tmpl w:val="CABE8B66"/>
    <w:lvl w:ilvl="0" w:tplc="459E502A">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0"/>
  </w:num>
  <w:num w:numId="4">
    <w:abstractNumId w:val="16"/>
  </w:num>
  <w:num w:numId="5">
    <w:abstractNumId w:val="11"/>
  </w:num>
  <w:num w:numId="6">
    <w:abstractNumId w:val="18"/>
  </w:num>
  <w:num w:numId="7">
    <w:abstractNumId w:val="35"/>
  </w:num>
  <w:num w:numId="8">
    <w:abstractNumId w:val="29"/>
  </w:num>
  <w:num w:numId="9">
    <w:abstractNumId w:val="34"/>
  </w:num>
  <w:num w:numId="10">
    <w:abstractNumId w:val="5"/>
  </w:num>
  <w:num w:numId="11">
    <w:abstractNumId w:val="3"/>
  </w:num>
  <w:num w:numId="12">
    <w:abstractNumId w:val="28"/>
  </w:num>
  <w:num w:numId="13">
    <w:abstractNumId w:val="27"/>
  </w:num>
  <w:num w:numId="14">
    <w:abstractNumId w:val="6"/>
  </w:num>
  <w:num w:numId="15">
    <w:abstractNumId w:val="15"/>
  </w:num>
  <w:num w:numId="16">
    <w:abstractNumId w:val="10"/>
  </w:num>
  <w:num w:numId="17">
    <w:abstractNumId w:val="32"/>
  </w:num>
  <w:num w:numId="18">
    <w:abstractNumId w:val="4"/>
  </w:num>
  <w:num w:numId="19">
    <w:abstractNumId w:val="33"/>
  </w:num>
  <w:num w:numId="20">
    <w:abstractNumId w:val="0"/>
  </w:num>
  <w:num w:numId="21">
    <w:abstractNumId w:val="2"/>
  </w:num>
  <w:num w:numId="22">
    <w:abstractNumId w:val="26"/>
  </w:num>
  <w:num w:numId="23">
    <w:abstractNumId w:val="9"/>
  </w:num>
  <w:num w:numId="24">
    <w:abstractNumId w:val="24"/>
  </w:num>
  <w:num w:numId="25">
    <w:abstractNumId w:val="25"/>
  </w:num>
  <w:num w:numId="26">
    <w:abstractNumId w:val="14"/>
  </w:num>
  <w:num w:numId="27">
    <w:abstractNumId w:val="23"/>
  </w:num>
  <w:num w:numId="28">
    <w:abstractNumId w:val="31"/>
  </w:num>
  <w:num w:numId="29">
    <w:abstractNumId w:val="19"/>
  </w:num>
  <w:num w:numId="30">
    <w:abstractNumId w:val="8"/>
  </w:num>
  <w:num w:numId="31">
    <w:abstractNumId w:val="12"/>
  </w:num>
  <w:num w:numId="32">
    <w:abstractNumId w:val="20"/>
  </w:num>
  <w:num w:numId="33">
    <w:abstractNumId w:val="1"/>
  </w:num>
  <w:num w:numId="34">
    <w:abstractNumId w:val="21"/>
  </w:num>
  <w:num w:numId="35">
    <w:abstractNumId w:val="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rwppdvwa5a2xue5ttppdv2o25d0evt5rrav&quot;&gt;My EndNote Library&lt;record-ids&gt;&lt;item&gt;13&lt;/item&gt;&lt;item&gt;368&lt;/item&gt;&lt;item&gt;546&lt;/item&gt;&lt;item&gt;549&lt;/item&gt;&lt;item&gt;550&lt;/item&gt;&lt;item&gt;551&lt;/item&gt;&lt;item&gt;552&lt;/item&gt;&lt;item&gt;553&lt;/item&gt;&lt;item&gt;1303&lt;/item&gt;&lt;item&gt;1304&lt;/item&gt;&lt;item&gt;1305&lt;/item&gt;&lt;item&gt;1306&lt;/item&gt;&lt;item&gt;1309&lt;/item&gt;&lt;item&gt;1310&lt;/item&gt;&lt;item&gt;1311&lt;/item&gt;&lt;item&gt;1316&lt;/item&gt;&lt;item&gt;1317&lt;/item&gt;&lt;item&gt;1318&lt;/item&gt;&lt;item&gt;1319&lt;/item&gt;&lt;item&gt;1320&lt;/item&gt;&lt;item&gt;1328&lt;/item&gt;&lt;item&gt;1329&lt;/item&gt;&lt;item&gt;1332&lt;/item&gt;&lt;item&gt;1334&lt;/item&gt;&lt;item&gt;1357&lt;/item&gt;&lt;item&gt;1358&lt;/item&gt;&lt;item&gt;1359&lt;/item&gt;&lt;item&gt;1360&lt;/item&gt;&lt;item&gt;1362&lt;/item&gt;&lt;item&gt;1364&lt;/item&gt;&lt;item&gt;1386&lt;/item&gt;&lt;/record-ids&gt;&lt;/item&gt;&lt;/Libraries&gt;"/>
  </w:docVars>
  <w:rsids>
    <w:rsidRoot w:val="004932FE"/>
    <w:rsid w:val="000011D4"/>
    <w:rsid w:val="00001AF0"/>
    <w:rsid w:val="00002179"/>
    <w:rsid w:val="00002420"/>
    <w:rsid w:val="0000476B"/>
    <w:rsid w:val="000056D3"/>
    <w:rsid w:val="00005901"/>
    <w:rsid w:val="000077CE"/>
    <w:rsid w:val="00013CCC"/>
    <w:rsid w:val="00015CA3"/>
    <w:rsid w:val="00017F6F"/>
    <w:rsid w:val="00023BB8"/>
    <w:rsid w:val="000255CD"/>
    <w:rsid w:val="00030488"/>
    <w:rsid w:val="00031A44"/>
    <w:rsid w:val="00033845"/>
    <w:rsid w:val="000338B2"/>
    <w:rsid w:val="00035870"/>
    <w:rsid w:val="00037DC2"/>
    <w:rsid w:val="0004245B"/>
    <w:rsid w:val="00042B7B"/>
    <w:rsid w:val="00045066"/>
    <w:rsid w:val="00045496"/>
    <w:rsid w:val="00050B97"/>
    <w:rsid w:val="00051697"/>
    <w:rsid w:val="000517F0"/>
    <w:rsid w:val="00057735"/>
    <w:rsid w:val="00057EFA"/>
    <w:rsid w:val="00060302"/>
    <w:rsid w:val="00067953"/>
    <w:rsid w:val="000764D5"/>
    <w:rsid w:val="00087C14"/>
    <w:rsid w:val="00094378"/>
    <w:rsid w:val="00095A60"/>
    <w:rsid w:val="00097D18"/>
    <w:rsid w:val="000A308A"/>
    <w:rsid w:val="000A5F0D"/>
    <w:rsid w:val="000A7FA9"/>
    <w:rsid w:val="000B47CC"/>
    <w:rsid w:val="000B7633"/>
    <w:rsid w:val="000C322E"/>
    <w:rsid w:val="000C52FC"/>
    <w:rsid w:val="000C6A51"/>
    <w:rsid w:val="000D018F"/>
    <w:rsid w:val="000D0BAE"/>
    <w:rsid w:val="000D267A"/>
    <w:rsid w:val="000D4B94"/>
    <w:rsid w:val="000D51D8"/>
    <w:rsid w:val="000D53CD"/>
    <w:rsid w:val="000D657B"/>
    <w:rsid w:val="000D6FCA"/>
    <w:rsid w:val="000E06FE"/>
    <w:rsid w:val="000E095B"/>
    <w:rsid w:val="000E2B19"/>
    <w:rsid w:val="000E2BFA"/>
    <w:rsid w:val="000E3342"/>
    <w:rsid w:val="000E3C7F"/>
    <w:rsid w:val="000E71B3"/>
    <w:rsid w:val="000E7EAB"/>
    <w:rsid w:val="000F05E5"/>
    <w:rsid w:val="000F4CCE"/>
    <w:rsid w:val="000F7CD4"/>
    <w:rsid w:val="00100BFC"/>
    <w:rsid w:val="00101B7D"/>
    <w:rsid w:val="001077E2"/>
    <w:rsid w:val="0011093A"/>
    <w:rsid w:val="00112593"/>
    <w:rsid w:val="001129FF"/>
    <w:rsid w:val="00113592"/>
    <w:rsid w:val="00113C16"/>
    <w:rsid w:val="00120278"/>
    <w:rsid w:val="00121E23"/>
    <w:rsid w:val="001236FA"/>
    <w:rsid w:val="00131AF4"/>
    <w:rsid w:val="00133AC7"/>
    <w:rsid w:val="001350A4"/>
    <w:rsid w:val="00135973"/>
    <w:rsid w:val="00135DD9"/>
    <w:rsid w:val="00146737"/>
    <w:rsid w:val="00146EBB"/>
    <w:rsid w:val="00147177"/>
    <w:rsid w:val="00153959"/>
    <w:rsid w:val="00154795"/>
    <w:rsid w:val="0015544D"/>
    <w:rsid w:val="001570AD"/>
    <w:rsid w:val="001570E6"/>
    <w:rsid w:val="00161229"/>
    <w:rsid w:val="001655A7"/>
    <w:rsid w:val="00167ECA"/>
    <w:rsid w:val="00170A0E"/>
    <w:rsid w:val="00170F40"/>
    <w:rsid w:val="00172CF0"/>
    <w:rsid w:val="00175235"/>
    <w:rsid w:val="0017733F"/>
    <w:rsid w:val="00187771"/>
    <w:rsid w:val="00191BA1"/>
    <w:rsid w:val="00195310"/>
    <w:rsid w:val="001A0A19"/>
    <w:rsid w:val="001A2B91"/>
    <w:rsid w:val="001B0FA3"/>
    <w:rsid w:val="001B3D2F"/>
    <w:rsid w:val="001B41B3"/>
    <w:rsid w:val="001B43ED"/>
    <w:rsid w:val="001B4C8F"/>
    <w:rsid w:val="001B5A32"/>
    <w:rsid w:val="001B7D55"/>
    <w:rsid w:val="001C1A3F"/>
    <w:rsid w:val="001C1EA0"/>
    <w:rsid w:val="001C3BDD"/>
    <w:rsid w:val="001C4D12"/>
    <w:rsid w:val="001C63A0"/>
    <w:rsid w:val="001D199A"/>
    <w:rsid w:val="001D6110"/>
    <w:rsid w:val="001E3012"/>
    <w:rsid w:val="001E79AD"/>
    <w:rsid w:val="001F01E0"/>
    <w:rsid w:val="001F248F"/>
    <w:rsid w:val="001F4893"/>
    <w:rsid w:val="001F50CA"/>
    <w:rsid w:val="00202F3B"/>
    <w:rsid w:val="00206AFC"/>
    <w:rsid w:val="00210492"/>
    <w:rsid w:val="00214ED3"/>
    <w:rsid w:val="00217091"/>
    <w:rsid w:val="00217586"/>
    <w:rsid w:val="002223E5"/>
    <w:rsid w:val="00222C2B"/>
    <w:rsid w:val="0022682D"/>
    <w:rsid w:val="00226CA5"/>
    <w:rsid w:val="00230E77"/>
    <w:rsid w:val="002315E8"/>
    <w:rsid w:val="002320C1"/>
    <w:rsid w:val="00233DEA"/>
    <w:rsid w:val="00234DF3"/>
    <w:rsid w:val="002351C3"/>
    <w:rsid w:val="0024064D"/>
    <w:rsid w:val="00246891"/>
    <w:rsid w:val="00247804"/>
    <w:rsid w:val="0025522A"/>
    <w:rsid w:val="00260A4E"/>
    <w:rsid w:val="0026229C"/>
    <w:rsid w:val="002622D7"/>
    <w:rsid w:val="00262ED3"/>
    <w:rsid w:val="00276F29"/>
    <w:rsid w:val="00277079"/>
    <w:rsid w:val="0028223B"/>
    <w:rsid w:val="00282470"/>
    <w:rsid w:val="0028384E"/>
    <w:rsid w:val="0028562A"/>
    <w:rsid w:val="00285630"/>
    <w:rsid w:val="00285BEA"/>
    <w:rsid w:val="0029490C"/>
    <w:rsid w:val="002A4A64"/>
    <w:rsid w:val="002A5BB1"/>
    <w:rsid w:val="002B0BCF"/>
    <w:rsid w:val="002B5721"/>
    <w:rsid w:val="002B57F2"/>
    <w:rsid w:val="002C0763"/>
    <w:rsid w:val="002C3A59"/>
    <w:rsid w:val="002C5CE5"/>
    <w:rsid w:val="002C7762"/>
    <w:rsid w:val="002D2456"/>
    <w:rsid w:val="002D3257"/>
    <w:rsid w:val="002D54F7"/>
    <w:rsid w:val="002E5CBA"/>
    <w:rsid w:val="002E6322"/>
    <w:rsid w:val="002F045A"/>
    <w:rsid w:val="002F1726"/>
    <w:rsid w:val="002F3228"/>
    <w:rsid w:val="002F3547"/>
    <w:rsid w:val="002F5C9F"/>
    <w:rsid w:val="00301083"/>
    <w:rsid w:val="00304F0D"/>
    <w:rsid w:val="00306602"/>
    <w:rsid w:val="0030719B"/>
    <w:rsid w:val="0031307C"/>
    <w:rsid w:val="0032116E"/>
    <w:rsid w:val="00325199"/>
    <w:rsid w:val="0033346A"/>
    <w:rsid w:val="00333876"/>
    <w:rsid w:val="003345EE"/>
    <w:rsid w:val="003375DE"/>
    <w:rsid w:val="003406DA"/>
    <w:rsid w:val="00342E42"/>
    <w:rsid w:val="00343C8C"/>
    <w:rsid w:val="0034561F"/>
    <w:rsid w:val="00345F2D"/>
    <w:rsid w:val="00350157"/>
    <w:rsid w:val="00351257"/>
    <w:rsid w:val="00352DD3"/>
    <w:rsid w:val="00357359"/>
    <w:rsid w:val="00360631"/>
    <w:rsid w:val="0036302E"/>
    <w:rsid w:val="00363B9B"/>
    <w:rsid w:val="00366A2E"/>
    <w:rsid w:val="00367C39"/>
    <w:rsid w:val="00370107"/>
    <w:rsid w:val="003716DB"/>
    <w:rsid w:val="00373FF0"/>
    <w:rsid w:val="00376476"/>
    <w:rsid w:val="00377A1F"/>
    <w:rsid w:val="003833C3"/>
    <w:rsid w:val="00384307"/>
    <w:rsid w:val="0038493C"/>
    <w:rsid w:val="00385E77"/>
    <w:rsid w:val="00387B55"/>
    <w:rsid w:val="00393813"/>
    <w:rsid w:val="00394B84"/>
    <w:rsid w:val="00395024"/>
    <w:rsid w:val="00396E07"/>
    <w:rsid w:val="003A68ED"/>
    <w:rsid w:val="003A750C"/>
    <w:rsid w:val="003B0361"/>
    <w:rsid w:val="003B2307"/>
    <w:rsid w:val="003B4822"/>
    <w:rsid w:val="003B6608"/>
    <w:rsid w:val="003C2611"/>
    <w:rsid w:val="003C5C78"/>
    <w:rsid w:val="003C5F2C"/>
    <w:rsid w:val="003D1B79"/>
    <w:rsid w:val="003D5B8C"/>
    <w:rsid w:val="003D6CD0"/>
    <w:rsid w:val="003E3F94"/>
    <w:rsid w:val="003F1B6C"/>
    <w:rsid w:val="003F5DD2"/>
    <w:rsid w:val="0040043C"/>
    <w:rsid w:val="00412551"/>
    <w:rsid w:val="004135C0"/>
    <w:rsid w:val="00413B37"/>
    <w:rsid w:val="00416632"/>
    <w:rsid w:val="00416ADA"/>
    <w:rsid w:val="00422350"/>
    <w:rsid w:val="004247BA"/>
    <w:rsid w:val="00425C78"/>
    <w:rsid w:val="0043224E"/>
    <w:rsid w:val="00435BFE"/>
    <w:rsid w:val="00436EFF"/>
    <w:rsid w:val="00453F01"/>
    <w:rsid w:val="004625BF"/>
    <w:rsid w:val="00463988"/>
    <w:rsid w:val="004646D3"/>
    <w:rsid w:val="004702D1"/>
    <w:rsid w:val="00471DD0"/>
    <w:rsid w:val="00472F8F"/>
    <w:rsid w:val="00476AC4"/>
    <w:rsid w:val="00480525"/>
    <w:rsid w:val="00482861"/>
    <w:rsid w:val="004838DD"/>
    <w:rsid w:val="004849F8"/>
    <w:rsid w:val="00484A07"/>
    <w:rsid w:val="004868F1"/>
    <w:rsid w:val="00490982"/>
    <w:rsid w:val="00490F7E"/>
    <w:rsid w:val="004932FE"/>
    <w:rsid w:val="0049344C"/>
    <w:rsid w:val="00495533"/>
    <w:rsid w:val="004966B1"/>
    <w:rsid w:val="004A32A2"/>
    <w:rsid w:val="004A6CA0"/>
    <w:rsid w:val="004A773F"/>
    <w:rsid w:val="004B3057"/>
    <w:rsid w:val="004B46C3"/>
    <w:rsid w:val="004B4879"/>
    <w:rsid w:val="004C152D"/>
    <w:rsid w:val="004D164E"/>
    <w:rsid w:val="004D7475"/>
    <w:rsid w:val="004E1087"/>
    <w:rsid w:val="004F0DF2"/>
    <w:rsid w:val="004F1A7B"/>
    <w:rsid w:val="004F4289"/>
    <w:rsid w:val="00504887"/>
    <w:rsid w:val="00506A85"/>
    <w:rsid w:val="00517C82"/>
    <w:rsid w:val="0052290E"/>
    <w:rsid w:val="00523774"/>
    <w:rsid w:val="005279EA"/>
    <w:rsid w:val="00530732"/>
    <w:rsid w:val="00530A2A"/>
    <w:rsid w:val="00535763"/>
    <w:rsid w:val="005379C9"/>
    <w:rsid w:val="00540A69"/>
    <w:rsid w:val="00546870"/>
    <w:rsid w:val="005607D2"/>
    <w:rsid w:val="005713B6"/>
    <w:rsid w:val="005741ED"/>
    <w:rsid w:val="0058165C"/>
    <w:rsid w:val="0058225D"/>
    <w:rsid w:val="005825F9"/>
    <w:rsid w:val="00586A33"/>
    <w:rsid w:val="00591221"/>
    <w:rsid w:val="00594CC5"/>
    <w:rsid w:val="005A0D29"/>
    <w:rsid w:val="005A116B"/>
    <w:rsid w:val="005A1A8B"/>
    <w:rsid w:val="005A41AD"/>
    <w:rsid w:val="005A56D3"/>
    <w:rsid w:val="005B2DFA"/>
    <w:rsid w:val="005B4620"/>
    <w:rsid w:val="005B4D6C"/>
    <w:rsid w:val="005B693C"/>
    <w:rsid w:val="005C0094"/>
    <w:rsid w:val="005C1A1B"/>
    <w:rsid w:val="005C599F"/>
    <w:rsid w:val="005C6F4D"/>
    <w:rsid w:val="005C7840"/>
    <w:rsid w:val="005C7DAE"/>
    <w:rsid w:val="005D4083"/>
    <w:rsid w:val="005D511E"/>
    <w:rsid w:val="005D6754"/>
    <w:rsid w:val="005E1C75"/>
    <w:rsid w:val="005E4D8E"/>
    <w:rsid w:val="005F3E0C"/>
    <w:rsid w:val="005F577F"/>
    <w:rsid w:val="00600E0D"/>
    <w:rsid w:val="00602F5C"/>
    <w:rsid w:val="0060389D"/>
    <w:rsid w:val="00625798"/>
    <w:rsid w:val="00631BC2"/>
    <w:rsid w:val="006330A5"/>
    <w:rsid w:val="0063403B"/>
    <w:rsid w:val="00640BC6"/>
    <w:rsid w:val="006417ED"/>
    <w:rsid w:val="0064743A"/>
    <w:rsid w:val="00652D34"/>
    <w:rsid w:val="0065627A"/>
    <w:rsid w:val="00657B9D"/>
    <w:rsid w:val="00657D31"/>
    <w:rsid w:val="0066593B"/>
    <w:rsid w:val="006678C0"/>
    <w:rsid w:val="00674735"/>
    <w:rsid w:val="00676E9F"/>
    <w:rsid w:val="00680AD4"/>
    <w:rsid w:val="00681E99"/>
    <w:rsid w:val="00684E3F"/>
    <w:rsid w:val="006859D4"/>
    <w:rsid w:val="00687ACA"/>
    <w:rsid w:val="0069236E"/>
    <w:rsid w:val="006927BE"/>
    <w:rsid w:val="0069643F"/>
    <w:rsid w:val="006A0469"/>
    <w:rsid w:val="006A0D69"/>
    <w:rsid w:val="006A7EB9"/>
    <w:rsid w:val="006B179B"/>
    <w:rsid w:val="006B3C7C"/>
    <w:rsid w:val="006B59D4"/>
    <w:rsid w:val="006B6974"/>
    <w:rsid w:val="006B74AE"/>
    <w:rsid w:val="006C186D"/>
    <w:rsid w:val="006C23C6"/>
    <w:rsid w:val="006C677F"/>
    <w:rsid w:val="006E1548"/>
    <w:rsid w:val="006E1C21"/>
    <w:rsid w:val="006E30E7"/>
    <w:rsid w:val="006E4E25"/>
    <w:rsid w:val="006F08DC"/>
    <w:rsid w:val="00720889"/>
    <w:rsid w:val="00730EC5"/>
    <w:rsid w:val="00733616"/>
    <w:rsid w:val="00735389"/>
    <w:rsid w:val="007355D3"/>
    <w:rsid w:val="007435AA"/>
    <w:rsid w:val="00743B0B"/>
    <w:rsid w:val="007469B8"/>
    <w:rsid w:val="00750C02"/>
    <w:rsid w:val="0075304C"/>
    <w:rsid w:val="00761C5E"/>
    <w:rsid w:val="00761C61"/>
    <w:rsid w:val="0076200B"/>
    <w:rsid w:val="00762FDB"/>
    <w:rsid w:val="0076396F"/>
    <w:rsid w:val="00765478"/>
    <w:rsid w:val="007700E6"/>
    <w:rsid w:val="0077118E"/>
    <w:rsid w:val="00774BF1"/>
    <w:rsid w:val="0077669E"/>
    <w:rsid w:val="00776A2B"/>
    <w:rsid w:val="00783EC8"/>
    <w:rsid w:val="00791130"/>
    <w:rsid w:val="007937E3"/>
    <w:rsid w:val="00796384"/>
    <w:rsid w:val="007A0809"/>
    <w:rsid w:val="007A5775"/>
    <w:rsid w:val="007A6D44"/>
    <w:rsid w:val="007B09C8"/>
    <w:rsid w:val="007B41F2"/>
    <w:rsid w:val="007B5125"/>
    <w:rsid w:val="007B5AEE"/>
    <w:rsid w:val="007C242D"/>
    <w:rsid w:val="007C4901"/>
    <w:rsid w:val="007C6B76"/>
    <w:rsid w:val="007D2513"/>
    <w:rsid w:val="007D3EB2"/>
    <w:rsid w:val="007D7861"/>
    <w:rsid w:val="007D7D68"/>
    <w:rsid w:val="007E3BDE"/>
    <w:rsid w:val="007E4DF9"/>
    <w:rsid w:val="007E6606"/>
    <w:rsid w:val="007F02D0"/>
    <w:rsid w:val="007F1952"/>
    <w:rsid w:val="007F1D10"/>
    <w:rsid w:val="007F2506"/>
    <w:rsid w:val="007F6D81"/>
    <w:rsid w:val="007F721F"/>
    <w:rsid w:val="008022DC"/>
    <w:rsid w:val="00804924"/>
    <w:rsid w:val="00804B3A"/>
    <w:rsid w:val="00804B50"/>
    <w:rsid w:val="008145B8"/>
    <w:rsid w:val="00815DF4"/>
    <w:rsid w:val="008206C6"/>
    <w:rsid w:val="00821D7C"/>
    <w:rsid w:val="00825FF6"/>
    <w:rsid w:val="00826446"/>
    <w:rsid w:val="00826BF9"/>
    <w:rsid w:val="00831137"/>
    <w:rsid w:val="008332A2"/>
    <w:rsid w:val="00835488"/>
    <w:rsid w:val="0083671C"/>
    <w:rsid w:val="00840524"/>
    <w:rsid w:val="0084287D"/>
    <w:rsid w:val="00843B8F"/>
    <w:rsid w:val="00844B42"/>
    <w:rsid w:val="00845674"/>
    <w:rsid w:val="00852D41"/>
    <w:rsid w:val="008558FB"/>
    <w:rsid w:val="00857B33"/>
    <w:rsid w:val="00857D8E"/>
    <w:rsid w:val="00864169"/>
    <w:rsid w:val="00866749"/>
    <w:rsid w:val="008672D3"/>
    <w:rsid w:val="008763B3"/>
    <w:rsid w:val="0087773E"/>
    <w:rsid w:val="00880447"/>
    <w:rsid w:val="00880827"/>
    <w:rsid w:val="00880B03"/>
    <w:rsid w:val="0088703D"/>
    <w:rsid w:val="008954F6"/>
    <w:rsid w:val="008A0BD7"/>
    <w:rsid w:val="008A14D9"/>
    <w:rsid w:val="008A3F56"/>
    <w:rsid w:val="008A4D38"/>
    <w:rsid w:val="008A611C"/>
    <w:rsid w:val="008A662F"/>
    <w:rsid w:val="008A7AFA"/>
    <w:rsid w:val="008A7D33"/>
    <w:rsid w:val="008B0D26"/>
    <w:rsid w:val="008B23A4"/>
    <w:rsid w:val="008C41AE"/>
    <w:rsid w:val="008D2E62"/>
    <w:rsid w:val="008D456B"/>
    <w:rsid w:val="008D6AA9"/>
    <w:rsid w:val="008D742C"/>
    <w:rsid w:val="008F0EFD"/>
    <w:rsid w:val="008F2525"/>
    <w:rsid w:val="008F28AF"/>
    <w:rsid w:val="008F7903"/>
    <w:rsid w:val="00900306"/>
    <w:rsid w:val="00901599"/>
    <w:rsid w:val="00906970"/>
    <w:rsid w:val="0090781D"/>
    <w:rsid w:val="00917B06"/>
    <w:rsid w:val="00925AF9"/>
    <w:rsid w:val="00927725"/>
    <w:rsid w:val="009361FD"/>
    <w:rsid w:val="00941ABA"/>
    <w:rsid w:val="009449CC"/>
    <w:rsid w:val="00945A99"/>
    <w:rsid w:val="00950586"/>
    <w:rsid w:val="00950FE0"/>
    <w:rsid w:val="00953F02"/>
    <w:rsid w:val="0095477B"/>
    <w:rsid w:val="0097087A"/>
    <w:rsid w:val="00976ECB"/>
    <w:rsid w:val="009777AF"/>
    <w:rsid w:val="00982CE9"/>
    <w:rsid w:val="00985BDE"/>
    <w:rsid w:val="00993B72"/>
    <w:rsid w:val="009B02C1"/>
    <w:rsid w:val="009B34DF"/>
    <w:rsid w:val="009B38D0"/>
    <w:rsid w:val="009C0305"/>
    <w:rsid w:val="009C2B5D"/>
    <w:rsid w:val="009C5606"/>
    <w:rsid w:val="009C5802"/>
    <w:rsid w:val="009C5C98"/>
    <w:rsid w:val="009D1DDF"/>
    <w:rsid w:val="009D5977"/>
    <w:rsid w:val="009D60F1"/>
    <w:rsid w:val="009E1273"/>
    <w:rsid w:val="009E2653"/>
    <w:rsid w:val="009E520F"/>
    <w:rsid w:val="009F21F1"/>
    <w:rsid w:val="009F2930"/>
    <w:rsid w:val="009F51D3"/>
    <w:rsid w:val="009F6FF7"/>
    <w:rsid w:val="00A10A17"/>
    <w:rsid w:val="00A10F2A"/>
    <w:rsid w:val="00A20ED1"/>
    <w:rsid w:val="00A23DE6"/>
    <w:rsid w:val="00A24BCD"/>
    <w:rsid w:val="00A3502A"/>
    <w:rsid w:val="00A35CB4"/>
    <w:rsid w:val="00A36CA7"/>
    <w:rsid w:val="00A6233E"/>
    <w:rsid w:val="00A65017"/>
    <w:rsid w:val="00A6598E"/>
    <w:rsid w:val="00A752A4"/>
    <w:rsid w:val="00A75502"/>
    <w:rsid w:val="00A8065A"/>
    <w:rsid w:val="00A824DB"/>
    <w:rsid w:val="00A825A6"/>
    <w:rsid w:val="00A82AF9"/>
    <w:rsid w:val="00A8431C"/>
    <w:rsid w:val="00A84B65"/>
    <w:rsid w:val="00A84B93"/>
    <w:rsid w:val="00A85493"/>
    <w:rsid w:val="00A86203"/>
    <w:rsid w:val="00A86D1C"/>
    <w:rsid w:val="00A9165C"/>
    <w:rsid w:val="00A916AC"/>
    <w:rsid w:val="00A95D98"/>
    <w:rsid w:val="00AA0FF0"/>
    <w:rsid w:val="00AA38C5"/>
    <w:rsid w:val="00AA49D8"/>
    <w:rsid w:val="00AA6D7A"/>
    <w:rsid w:val="00AA7344"/>
    <w:rsid w:val="00AB2FEF"/>
    <w:rsid w:val="00AB5946"/>
    <w:rsid w:val="00AB7FA8"/>
    <w:rsid w:val="00AC01C8"/>
    <w:rsid w:val="00AC5206"/>
    <w:rsid w:val="00AD1042"/>
    <w:rsid w:val="00AD5386"/>
    <w:rsid w:val="00AD58DE"/>
    <w:rsid w:val="00AD7CAB"/>
    <w:rsid w:val="00AE2303"/>
    <w:rsid w:val="00AE272B"/>
    <w:rsid w:val="00AE28A3"/>
    <w:rsid w:val="00AE308A"/>
    <w:rsid w:val="00AE39E2"/>
    <w:rsid w:val="00B01BA8"/>
    <w:rsid w:val="00B02531"/>
    <w:rsid w:val="00B0498A"/>
    <w:rsid w:val="00B07DAF"/>
    <w:rsid w:val="00B11ED0"/>
    <w:rsid w:val="00B13F51"/>
    <w:rsid w:val="00B14140"/>
    <w:rsid w:val="00B161A8"/>
    <w:rsid w:val="00B209F0"/>
    <w:rsid w:val="00B24D7D"/>
    <w:rsid w:val="00B3224F"/>
    <w:rsid w:val="00B36234"/>
    <w:rsid w:val="00B36B98"/>
    <w:rsid w:val="00B40BCE"/>
    <w:rsid w:val="00B47C24"/>
    <w:rsid w:val="00B50E87"/>
    <w:rsid w:val="00B52001"/>
    <w:rsid w:val="00B52019"/>
    <w:rsid w:val="00B53787"/>
    <w:rsid w:val="00B57FE1"/>
    <w:rsid w:val="00B6596A"/>
    <w:rsid w:val="00B6755B"/>
    <w:rsid w:val="00B73406"/>
    <w:rsid w:val="00B84A95"/>
    <w:rsid w:val="00B85057"/>
    <w:rsid w:val="00B87F6C"/>
    <w:rsid w:val="00B92FAE"/>
    <w:rsid w:val="00B93472"/>
    <w:rsid w:val="00B97F7E"/>
    <w:rsid w:val="00BA0FF3"/>
    <w:rsid w:val="00BA246E"/>
    <w:rsid w:val="00BB065B"/>
    <w:rsid w:val="00BB1DF0"/>
    <w:rsid w:val="00BB6464"/>
    <w:rsid w:val="00BC0D7B"/>
    <w:rsid w:val="00BC2E57"/>
    <w:rsid w:val="00BD3751"/>
    <w:rsid w:val="00BD694D"/>
    <w:rsid w:val="00BD6B51"/>
    <w:rsid w:val="00BE1D74"/>
    <w:rsid w:val="00BE293C"/>
    <w:rsid w:val="00BF2A90"/>
    <w:rsid w:val="00BF3AD3"/>
    <w:rsid w:val="00BF44C0"/>
    <w:rsid w:val="00C0178F"/>
    <w:rsid w:val="00C022D6"/>
    <w:rsid w:val="00C04A3E"/>
    <w:rsid w:val="00C11117"/>
    <w:rsid w:val="00C13B94"/>
    <w:rsid w:val="00C156E7"/>
    <w:rsid w:val="00C17213"/>
    <w:rsid w:val="00C2080D"/>
    <w:rsid w:val="00C219B0"/>
    <w:rsid w:val="00C2280A"/>
    <w:rsid w:val="00C24FAB"/>
    <w:rsid w:val="00C263B1"/>
    <w:rsid w:val="00C30F28"/>
    <w:rsid w:val="00C32AE9"/>
    <w:rsid w:val="00C32E8F"/>
    <w:rsid w:val="00C33A8A"/>
    <w:rsid w:val="00C37004"/>
    <w:rsid w:val="00C37FD2"/>
    <w:rsid w:val="00C436EC"/>
    <w:rsid w:val="00C454CC"/>
    <w:rsid w:val="00C47B81"/>
    <w:rsid w:val="00C52240"/>
    <w:rsid w:val="00C52CCB"/>
    <w:rsid w:val="00C535F3"/>
    <w:rsid w:val="00C56904"/>
    <w:rsid w:val="00C658BD"/>
    <w:rsid w:val="00C6761C"/>
    <w:rsid w:val="00C67897"/>
    <w:rsid w:val="00C71C58"/>
    <w:rsid w:val="00C755BE"/>
    <w:rsid w:val="00C773FD"/>
    <w:rsid w:val="00C8153E"/>
    <w:rsid w:val="00C82A1D"/>
    <w:rsid w:val="00C91E73"/>
    <w:rsid w:val="00C94B04"/>
    <w:rsid w:val="00C96620"/>
    <w:rsid w:val="00C96AFC"/>
    <w:rsid w:val="00CA1F4F"/>
    <w:rsid w:val="00CA25CC"/>
    <w:rsid w:val="00CA2A78"/>
    <w:rsid w:val="00CA3BB1"/>
    <w:rsid w:val="00CB0F89"/>
    <w:rsid w:val="00CB1710"/>
    <w:rsid w:val="00CB4575"/>
    <w:rsid w:val="00CC1545"/>
    <w:rsid w:val="00CC4A14"/>
    <w:rsid w:val="00CC6824"/>
    <w:rsid w:val="00CD0FD8"/>
    <w:rsid w:val="00CD1CE4"/>
    <w:rsid w:val="00CD2504"/>
    <w:rsid w:val="00CD42A3"/>
    <w:rsid w:val="00CD577F"/>
    <w:rsid w:val="00CD5AE6"/>
    <w:rsid w:val="00CE1CB3"/>
    <w:rsid w:val="00CF1F5C"/>
    <w:rsid w:val="00CF60CB"/>
    <w:rsid w:val="00D00948"/>
    <w:rsid w:val="00D060FC"/>
    <w:rsid w:val="00D15CBD"/>
    <w:rsid w:val="00D1780E"/>
    <w:rsid w:val="00D20D9D"/>
    <w:rsid w:val="00D226FD"/>
    <w:rsid w:val="00D231C5"/>
    <w:rsid w:val="00D24EB6"/>
    <w:rsid w:val="00D3042A"/>
    <w:rsid w:val="00D30B25"/>
    <w:rsid w:val="00D32AEE"/>
    <w:rsid w:val="00D33412"/>
    <w:rsid w:val="00D33DD3"/>
    <w:rsid w:val="00D351AF"/>
    <w:rsid w:val="00D35EAF"/>
    <w:rsid w:val="00D46764"/>
    <w:rsid w:val="00D47E3F"/>
    <w:rsid w:val="00D52BB9"/>
    <w:rsid w:val="00D53F52"/>
    <w:rsid w:val="00D65D7D"/>
    <w:rsid w:val="00D66B24"/>
    <w:rsid w:val="00D67586"/>
    <w:rsid w:val="00D67DB8"/>
    <w:rsid w:val="00D725E8"/>
    <w:rsid w:val="00D84F42"/>
    <w:rsid w:val="00D97B83"/>
    <w:rsid w:val="00DA24CF"/>
    <w:rsid w:val="00DA35DC"/>
    <w:rsid w:val="00DA7D46"/>
    <w:rsid w:val="00DB06B1"/>
    <w:rsid w:val="00DB1181"/>
    <w:rsid w:val="00DB1920"/>
    <w:rsid w:val="00DB2F30"/>
    <w:rsid w:val="00DB3C44"/>
    <w:rsid w:val="00DC6C65"/>
    <w:rsid w:val="00DC70AE"/>
    <w:rsid w:val="00DE0CCE"/>
    <w:rsid w:val="00DE1730"/>
    <w:rsid w:val="00DE207B"/>
    <w:rsid w:val="00DE253B"/>
    <w:rsid w:val="00DE2840"/>
    <w:rsid w:val="00DF2622"/>
    <w:rsid w:val="00DF499A"/>
    <w:rsid w:val="00E00A0F"/>
    <w:rsid w:val="00E01097"/>
    <w:rsid w:val="00E124CD"/>
    <w:rsid w:val="00E17362"/>
    <w:rsid w:val="00E2512F"/>
    <w:rsid w:val="00E26097"/>
    <w:rsid w:val="00E323F1"/>
    <w:rsid w:val="00E335C8"/>
    <w:rsid w:val="00E44646"/>
    <w:rsid w:val="00E4597B"/>
    <w:rsid w:val="00E51D39"/>
    <w:rsid w:val="00E5247C"/>
    <w:rsid w:val="00E52CAF"/>
    <w:rsid w:val="00E559DB"/>
    <w:rsid w:val="00E60430"/>
    <w:rsid w:val="00E605B5"/>
    <w:rsid w:val="00E617CD"/>
    <w:rsid w:val="00E67C63"/>
    <w:rsid w:val="00E85B22"/>
    <w:rsid w:val="00E92638"/>
    <w:rsid w:val="00E956E4"/>
    <w:rsid w:val="00E97DF9"/>
    <w:rsid w:val="00EA08AE"/>
    <w:rsid w:val="00EA5605"/>
    <w:rsid w:val="00EA7AF6"/>
    <w:rsid w:val="00EB4AFB"/>
    <w:rsid w:val="00EB4B3A"/>
    <w:rsid w:val="00EB5A3E"/>
    <w:rsid w:val="00EB73BA"/>
    <w:rsid w:val="00EB798B"/>
    <w:rsid w:val="00EC2A7F"/>
    <w:rsid w:val="00EC36E2"/>
    <w:rsid w:val="00EC4B7D"/>
    <w:rsid w:val="00EC66E7"/>
    <w:rsid w:val="00ED110F"/>
    <w:rsid w:val="00ED1718"/>
    <w:rsid w:val="00ED4CC9"/>
    <w:rsid w:val="00EE19E3"/>
    <w:rsid w:val="00EE3BFC"/>
    <w:rsid w:val="00EE454C"/>
    <w:rsid w:val="00EE63E2"/>
    <w:rsid w:val="00EF2D51"/>
    <w:rsid w:val="00EF50C5"/>
    <w:rsid w:val="00F00D71"/>
    <w:rsid w:val="00F00DF9"/>
    <w:rsid w:val="00F021F6"/>
    <w:rsid w:val="00F03E0E"/>
    <w:rsid w:val="00F17FA8"/>
    <w:rsid w:val="00F21833"/>
    <w:rsid w:val="00F2225B"/>
    <w:rsid w:val="00F22A91"/>
    <w:rsid w:val="00F2333C"/>
    <w:rsid w:val="00F234A4"/>
    <w:rsid w:val="00F2459F"/>
    <w:rsid w:val="00F27D5A"/>
    <w:rsid w:val="00F31462"/>
    <w:rsid w:val="00F32B5A"/>
    <w:rsid w:val="00F35453"/>
    <w:rsid w:val="00F3651B"/>
    <w:rsid w:val="00F37D7F"/>
    <w:rsid w:val="00F42E77"/>
    <w:rsid w:val="00F454EB"/>
    <w:rsid w:val="00F45676"/>
    <w:rsid w:val="00F460D6"/>
    <w:rsid w:val="00F472B7"/>
    <w:rsid w:val="00F56416"/>
    <w:rsid w:val="00F56E91"/>
    <w:rsid w:val="00F61E65"/>
    <w:rsid w:val="00F63D79"/>
    <w:rsid w:val="00F64440"/>
    <w:rsid w:val="00F75CA0"/>
    <w:rsid w:val="00F773B9"/>
    <w:rsid w:val="00F8019A"/>
    <w:rsid w:val="00F8063B"/>
    <w:rsid w:val="00F814E8"/>
    <w:rsid w:val="00F83CBF"/>
    <w:rsid w:val="00F84AC3"/>
    <w:rsid w:val="00F853D1"/>
    <w:rsid w:val="00F85E5A"/>
    <w:rsid w:val="00F86109"/>
    <w:rsid w:val="00F9213F"/>
    <w:rsid w:val="00F9481A"/>
    <w:rsid w:val="00F95257"/>
    <w:rsid w:val="00FA0390"/>
    <w:rsid w:val="00FA25B5"/>
    <w:rsid w:val="00FA2702"/>
    <w:rsid w:val="00FA570C"/>
    <w:rsid w:val="00FA5C81"/>
    <w:rsid w:val="00FA6F97"/>
    <w:rsid w:val="00FB1DB3"/>
    <w:rsid w:val="00FC17E3"/>
    <w:rsid w:val="00FC408D"/>
    <w:rsid w:val="00FD3F9A"/>
    <w:rsid w:val="00FD50B6"/>
    <w:rsid w:val="00FE5623"/>
    <w:rsid w:val="00FF06C4"/>
    <w:rsid w:val="00FF2295"/>
    <w:rsid w:val="00FF3017"/>
    <w:rsid w:val="00FF5D7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98"/>
    <w:pPr>
      <w:spacing w:after="200" w:line="276" w:lineRule="auto"/>
    </w:pPr>
    <w:rPr>
      <w:lang w:eastAsia="en-US"/>
    </w:rPr>
  </w:style>
  <w:style w:type="paragraph" w:styleId="Heading1">
    <w:name w:val="heading 1"/>
    <w:basedOn w:val="Normal"/>
    <w:next w:val="Normal"/>
    <w:link w:val="Heading1Char"/>
    <w:uiPriority w:val="99"/>
    <w:qFormat/>
    <w:rsid w:val="007F250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952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66B2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D675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50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9525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66B24"/>
    <w:rPr>
      <w:rFonts w:ascii="Cambria" w:hAnsi="Cambria" w:cs="Times New Roman"/>
      <w:b/>
      <w:bCs/>
      <w:color w:val="4F81BD"/>
    </w:rPr>
  </w:style>
  <w:style w:type="character" w:customStyle="1" w:styleId="Heading4Char">
    <w:name w:val="Heading 4 Char"/>
    <w:basedOn w:val="DefaultParagraphFont"/>
    <w:link w:val="Heading4"/>
    <w:uiPriority w:val="99"/>
    <w:locked/>
    <w:rsid w:val="005D6754"/>
    <w:rPr>
      <w:rFonts w:ascii="Cambria" w:hAnsi="Cambria" w:cs="Times New Roman"/>
      <w:b/>
      <w:bCs/>
      <w:i/>
      <w:iCs/>
      <w:color w:val="4F81BD"/>
    </w:rPr>
  </w:style>
  <w:style w:type="character" w:styleId="Hyperlink">
    <w:name w:val="Hyperlink"/>
    <w:basedOn w:val="DefaultParagraphFont"/>
    <w:uiPriority w:val="99"/>
    <w:rsid w:val="006B3C7C"/>
    <w:rPr>
      <w:rFonts w:cs="Times New Roman"/>
      <w:color w:val="0000FF"/>
      <w:u w:val="single"/>
    </w:rPr>
  </w:style>
  <w:style w:type="paragraph" w:styleId="FootnoteText">
    <w:name w:val="footnote text"/>
    <w:basedOn w:val="Normal"/>
    <w:link w:val="FootnoteTextChar"/>
    <w:uiPriority w:val="99"/>
    <w:semiHidden/>
    <w:rsid w:val="002C3A5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C3A59"/>
    <w:rPr>
      <w:rFonts w:cs="Times New Roman"/>
      <w:sz w:val="20"/>
      <w:szCs w:val="20"/>
    </w:rPr>
  </w:style>
  <w:style w:type="character" w:styleId="FootnoteReference">
    <w:name w:val="footnote reference"/>
    <w:basedOn w:val="DefaultParagraphFont"/>
    <w:uiPriority w:val="99"/>
    <w:semiHidden/>
    <w:rsid w:val="002C3A59"/>
    <w:rPr>
      <w:rFonts w:cs="Times New Roman"/>
      <w:vertAlign w:val="superscript"/>
    </w:rPr>
  </w:style>
  <w:style w:type="paragraph" w:styleId="ListParagraph">
    <w:name w:val="List Paragraph"/>
    <w:basedOn w:val="Normal"/>
    <w:uiPriority w:val="34"/>
    <w:qFormat/>
    <w:rsid w:val="00750C02"/>
    <w:pPr>
      <w:ind w:left="720"/>
      <w:contextualSpacing/>
    </w:pPr>
    <w:rPr>
      <w:rFonts w:eastAsia="Times New Roman"/>
      <w:lang w:eastAsia="en-CA"/>
    </w:rPr>
  </w:style>
  <w:style w:type="character" w:styleId="CommentReference">
    <w:name w:val="annotation reference"/>
    <w:basedOn w:val="DefaultParagraphFont"/>
    <w:uiPriority w:val="99"/>
    <w:semiHidden/>
    <w:rsid w:val="009C2B5D"/>
    <w:rPr>
      <w:rFonts w:cs="Times New Roman"/>
      <w:sz w:val="16"/>
      <w:szCs w:val="16"/>
    </w:rPr>
  </w:style>
  <w:style w:type="paragraph" w:styleId="CommentText">
    <w:name w:val="annotation text"/>
    <w:basedOn w:val="Normal"/>
    <w:link w:val="CommentTextChar"/>
    <w:uiPriority w:val="99"/>
    <w:semiHidden/>
    <w:rsid w:val="009C2B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2B5D"/>
    <w:rPr>
      <w:rFonts w:cs="Times New Roman"/>
      <w:sz w:val="20"/>
      <w:szCs w:val="20"/>
    </w:rPr>
  </w:style>
  <w:style w:type="paragraph" w:styleId="CommentSubject">
    <w:name w:val="annotation subject"/>
    <w:basedOn w:val="CommentText"/>
    <w:next w:val="CommentText"/>
    <w:link w:val="CommentSubjectChar"/>
    <w:uiPriority w:val="99"/>
    <w:semiHidden/>
    <w:rsid w:val="009C2B5D"/>
    <w:rPr>
      <w:b/>
      <w:bCs/>
    </w:rPr>
  </w:style>
  <w:style w:type="character" w:customStyle="1" w:styleId="CommentSubjectChar">
    <w:name w:val="Comment Subject Char"/>
    <w:basedOn w:val="CommentTextChar"/>
    <w:link w:val="CommentSubject"/>
    <w:uiPriority w:val="99"/>
    <w:semiHidden/>
    <w:locked/>
    <w:rsid w:val="009C2B5D"/>
    <w:rPr>
      <w:rFonts w:cs="Times New Roman"/>
      <w:b/>
      <w:bCs/>
      <w:sz w:val="20"/>
      <w:szCs w:val="20"/>
    </w:rPr>
  </w:style>
  <w:style w:type="paragraph" w:styleId="BalloonText">
    <w:name w:val="Balloon Text"/>
    <w:basedOn w:val="Normal"/>
    <w:link w:val="BalloonTextChar"/>
    <w:uiPriority w:val="99"/>
    <w:semiHidden/>
    <w:rsid w:val="009C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2B5D"/>
    <w:rPr>
      <w:rFonts w:ascii="Tahoma" w:hAnsi="Tahoma" w:cs="Tahoma"/>
      <w:sz w:val="16"/>
      <w:szCs w:val="16"/>
    </w:rPr>
  </w:style>
  <w:style w:type="table" w:customStyle="1" w:styleId="TableGrid1">
    <w:name w:val="Table Grid1"/>
    <w:uiPriority w:val="99"/>
    <w:rsid w:val="005B462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5B46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F021F6"/>
    <w:rPr>
      <w:rFonts w:cs="Times New Roman"/>
      <w:color w:val="800080"/>
      <w:u w:val="single"/>
    </w:rPr>
  </w:style>
  <w:style w:type="paragraph" w:styleId="TOCHeading">
    <w:name w:val="TOC Heading"/>
    <w:basedOn w:val="Heading1"/>
    <w:next w:val="Normal"/>
    <w:uiPriority w:val="39"/>
    <w:semiHidden/>
    <w:unhideWhenUsed/>
    <w:qFormat/>
    <w:rsid w:val="003833C3"/>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locked/>
    <w:rsid w:val="003833C3"/>
    <w:pPr>
      <w:spacing w:after="100"/>
    </w:pPr>
  </w:style>
  <w:style w:type="paragraph" w:styleId="TOC2">
    <w:name w:val="toc 2"/>
    <w:basedOn w:val="Normal"/>
    <w:next w:val="Normal"/>
    <w:autoRedefine/>
    <w:uiPriority w:val="39"/>
    <w:locked/>
    <w:rsid w:val="003833C3"/>
    <w:pPr>
      <w:spacing w:after="100"/>
      <w:ind w:left="220"/>
    </w:pPr>
  </w:style>
  <w:style w:type="character" w:styleId="BookTitle">
    <w:name w:val="Book Title"/>
    <w:basedOn w:val="DefaultParagraphFont"/>
    <w:uiPriority w:val="33"/>
    <w:qFormat/>
    <w:rsid w:val="003C2611"/>
    <w:rPr>
      <w:b/>
      <w:bCs/>
      <w:smallCaps/>
      <w:spacing w:val="5"/>
    </w:rPr>
  </w:style>
  <w:style w:type="paragraph" w:styleId="Title">
    <w:name w:val="Title"/>
    <w:basedOn w:val="Normal"/>
    <w:next w:val="Normal"/>
    <w:link w:val="TitleChar"/>
    <w:qFormat/>
    <w:locked/>
    <w:rsid w:val="00D334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33412"/>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94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84"/>
    <w:rPr>
      <w:lang w:eastAsia="en-US"/>
    </w:rPr>
  </w:style>
  <w:style w:type="paragraph" w:styleId="Footer">
    <w:name w:val="footer"/>
    <w:basedOn w:val="Normal"/>
    <w:link w:val="FooterChar"/>
    <w:uiPriority w:val="99"/>
    <w:unhideWhenUsed/>
    <w:rsid w:val="0039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8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98"/>
    <w:pPr>
      <w:spacing w:after="200" w:line="276" w:lineRule="auto"/>
    </w:pPr>
    <w:rPr>
      <w:lang w:eastAsia="en-US"/>
    </w:rPr>
  </w:style>
  <w:style w:type="paragraph" w:styleId="Heading1">
    <w:name w:val="heading 1"/>
    <w:basedOn w:val="Normal"/>
    <w:next w:val="Normal"/>
    <w:link w:val="Heading1Char"/>
    <w:uiPriority w:val="99"/>
    <w:qFormat/>
    <w:rsid w:val="007F250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9525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66B24"/>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D6754"/>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250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F9525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66B24"/>
    <w:rPr>
      <w:rFonts w:ascii="Cambria" w:hAnsi="Cambria" w:cs="Times New Roman"/>
      <w:b/>
      <w:bCs/>
      <w:color w:val="4F81BD"/>
    </w:rPr>
  </w:style>
  <w:style w:type="character" w:customStyle="1" w:styleId="Heading4Char">
    <w:name w:val="Heading 4 Char"/>
    <w:basedOn w:val="DefaultParagraphFont"/>
    <w:link w:val="Heading4"/>
    <w:uiPriority w:val="99"/>
    <w:locked/>
    <w:rsid w:val="005D6754"/>
    <w:rPr>
      <w:rFonts w:ascii="Cambria" w:hAnsi="Cambria" w:cs="Times New Roman"/>
      <w:b/>
      <w:bCs/>
      <w:i/>
      <w:iCs/>
      <w:color w:val="4F81BD"/>
    </w:rPr>
  </w:style>
  <w:style w:type="character" w:styleId="Hyperlink">
    <w:name w:val="Hyperlink"/>
    <w:basedOn w:val="DefaultParagraphFont"/>
    <w:uiPriority w:val="99"/>
    <w:rsid w:val="006B3C7C"/>
    <w:rPr>
      <w:rFonts w:cs="Times New Roman"/>
      <w:color w:val="0000FF"/>
      <w:u w:val="single"/>
    </w:rPr>
  </w:style>
  <w:style w:type="paragraph" w:styleId="FootnoteText">
    <w:name w:val="footnote text"/>
    <w:basedOn w:val="Normal"/>
    <w:link w:val="FootnoteTextChar"/>
    <w:uiPriority w:val="99"/>
    <w:semiHidden/>
    <w:rsid w:val="002C3A5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C3A59"/>
    <w:rPr>
      <w:rFonts w:cs="Times New Roman"/>
      <w:sz w:val="20"/>
      <w:szCs w:val="20"/>
    </w:rPr>
  </w:style>
  <w:style w:type="character" w:styleId="FootnoteReference">
    <w:name w:val="footnote reference"/>
    <w:basedOn w:val="DefaultParagraphFont"/>
    <w:uiPriority w:val="99"/>
    <w:semiHidden/>
    <w:rsid w:val="002C3A59"/>
    <w:rPr>
      <w:rFonts w:cs="Times New Roman"/>
      <w:vertAlign w:val="superscript"/>
    </w:rPr>
  </w:style>
  <w:style w:type="paragraph" w:styleId="ListParagraph">
    <w:name w:val="List Paragraph"/>
    <w:basedOn w:val="Normal"/>
    <w:uiPriority w:val="34"/>
    <w:qFormat/>
    <w:rsid w:val="00750C02"/>
    <w:pPr>
      <w:ind w:left="720"/>
      <w:contextualSpacing/>
    </w:pPr>
    <w:rPr>
      <w:rFonts w:eastAsia="Times New Roman"/>
      <w:lang w:eastAsia="en-CA"/>
    </w:rPr>
  </w:style>
  <w:style w:type="character" w:styleId="CommentReference">
    <w:name w:val="annotation reference"/>
    <w:basedOn w:val="DefaultParagraphFont"/>
    <w:uiPriority w:val="99"/>
    <w:semiHidden/>
    <w:rsid w:val="009C2B5D"/>
    <w:rPr>
      <w:rFonts w:cs="Times New Roman"/>
      <w:sz w:val="16"/>
      <w:szCs w:val="16"/>
    </w:rPr>
  </w:style>
  <w:style w:type="paragraph" w:styleId="CommentText">
    <w:name w:val="annotation text"/>
    <w:basedOn w:val="Normal"/>
    <w:link w:val="CommentTextChar"/>
    <w:uiPriority w:val="99"/>
    <w:semiHidden/>
    <w:rsid w:val="009C2B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C2B5D"/>
    <w:rPr>
      <w:rFonts w:cs="Times New Roman"/>
      <w:sz w:val="20"/>
      <w:szCs w:val="20"/>
    </w:rPr>
  </w:style>
  <w:style w:type="paragraph" w:styleId="CommentSubject">
    <w:name w:val="annotation subject"/>
    <w:basedOn w:val="CommentText"/>
    <w:next w:val="CommentText"/>
    <w:link w:val="CommentSubjectChar"/>
    <w:uiPriority w:val="99"/>
    <w:semiHidden/>
    <w:rsid w:val="009C2B5D"/>
    <w:rPr>
      <w:b/>
      <w:bCs/>
    </w:rPr>
  </w:style>
  <w:style w:type="character" w:customStyle="1" w:styleId="CommentSubjectChar">
    <w:name w:val="Comment Subject Char"/>
    <w:basedOn w:val="CommentTextChar"/>
    <w:link w:val="CommentSubject"/>
    <w:uiPriority w:val="99"/>
    <w:semiHidden/>
    <w:locked/>
    <w:rsid w:val="009C2B5D"/>
    <w:rPr>
      <w:rFonts w:cs="Times New Roman"/>
      <w:b/>
      <w:bCs/>
      <w:sz w:val="20"/>
      <w:szCs w:val="20"/>
    </w:rPr>
  </w:style>
  <w:style w:type="paragraph" w:styleId="BalloonText">
    <w:name w:val="Balloon Text"/>
    <w:basedOn w:val="Normal"/>
    <w:link w:val="BalloonTextChar"/>
    <w:uiPriority w:val="99"/>
    <w:semiHidden/>
    <w:rsid w:val="009C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2B5D"/>
    <w:rPr>
      <w:rFonts w:ascii="Tahoma" w:hAnsi="Tahoma" w:cs="Tahoma"/>
      <w:sz w:val="16"/>
      <w:szCs w:val="16"/>
    </w:rPr>
  </w:style>
  <w:style w:type="table" w:customStyle="1" w:styleId="TableGrid1">
    <w:name w:val="Table Grid1"/>
    <w:uiPriority w:val="99"/>
    <w:rsid w:val="005B462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5B46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F021F6"/>
    <w:rPr>
      <w:rFonts w:cs="Times New Roman"/>
      <w:color w:val="800080"/>
      <w:u w:val="single"/>
    </w:rPr>
  </w:style>
  <w:style w:type="paragraph" w:styleId="TOCHeading">
    <w:name w:val="TOC Heading"/>
    <w:basedOn w:val="Heading1"/>
    <w:next w:val="Normal"/>
    <w:uiPriority w:val="39"/>
    <w:semiHidden/>
    <w:unhideWhenUsed/>
    <w:qFormat/>
    <w:rsid w:val="003833C3"/>
    <w:pPr>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locked/>
    <w:rsid w:val="003833C3"/>
    <w:pPr>
      <w:spacing w:after="100"/>
    </w:pPr>
  </w:style>
  <w:style w:type="paragraph" w:styleId="TOC2">
    <w:name w:val="toc 2"/>
    <w:basedOn w:val="Normal"/>
    <w:next w:val="Normal"/>
    <w:autoRedefine/>
    <w:uiPriority w:val="39"/>
    <w:locked/>
    <w:rsid w:val="003833C3"/>
    <w:pPr>
      <w:spacing w:after="100"/>
      <w:ind w:left="220"/>
    </w:pPr>
  </w:style>
  <w:style w:type="character" w:styleId="BookTitle">
    <w:name w:val="Book Title"/>
    <w:basedOn w:val="DefaultParagraphFont"/>
    <w:uiPriority w:val="33"/>
    <w:qFormat/>
    <w:rsid w:val="003C2611"/>
    <w:rPr>
      <w:b/>
      <w:bCs/>
      <w:smallCaps/>
      <w:spacing w:val="5"/>
    </w:rPr>
  </w:style>
  <w:style w:type="paragraph" w:styleId="Title">
    <w:name w:val="Title"/>
    <w:basedOn w:val="Normal"/>
    <w:next w:val="Normal"/>
    <w:link w:val="TitleChar"/>
    <w:qFormat/>
    <w:locked/>
    <w:rsid w:val="00D334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33412"/>
    <w:rPr>
      <w:rFonts w:asciiTheme="majorHAnsi" w:eastAsiaTheme="majorEastAsia" w:hAnsiTheme="majorHAnsi" w:cstheme="majorBidi"/>
      <w:color w:val="17365D" w:themeColor="text2" w:themeShade="BF"/>
      <w:spacing w:val="5"/>
      <w:kern w:val="28"/>
      <w:sz w:val="52"/>
      <w:szCs w:val="52"/>
      <w:lang w:eastAsia="en-US"/>
    </w:rPr>
  </w:style>
  <w:style w:type="paragraph" w:styleId="Header">
    <w:name w:val="header"/>
    <w:basedOn w:val="Normal"/>
    <w:link w:val="HeaderChar"/>
    <w:uiPriority w:val="99"/>
    <w:unhideWhenUsed/>
    <w:rsid w:val="00394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84"/>
    <w:rPr>
      <w:lang w:eastAsia="en-US"/>
    </w:rPr>
  </w:style>
  <w:style w:type="paragraph" w:styleId="Footer">
    <w:name w:val="footer"/>
    <w:basedOn w:val="Normal"/>
    <w:link w:val="FooterChar"/>
    <w:uiPriority w:val="99"/>
    <w:unhideWhenUsed/>
    <w:rsid w:val="00394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92618">
      <w:bodyDiv w:val="1"/>
      <w:marLeft w:val="0"/>
      <w:marRight w:val="0"/>
      <w:marTop w:val="0"/>
      <w:marBottom w:val="0"/>
      <w:divBdr>
        <w:top w:val="none" w:sz="0" w:space="0" w:color="auto"/>
        <w:left w:val="none" w:sz="0" w:space="0" w:color="auto"/>
        <w:bottom w:val="none" w:sz="0" w:space="0" w:color="auto"/>
        <w:right w:val="none" w:sz="0" w:space="0" w:color="auto"/>
      </w:divBdr>
      <w:divsChild>
        <w:div w:id="1129131763">
          <w:marLeft w:val="0"/>
          <w:marRight w:val="0"/>
          <w:marTop w:val="0"/>
          <w:marBottom w:val="0"/>
          <w:divBdr>
            <w:top w:val="none" w:sz="0" w:space="0" w:color="auto"/>
            <w:left w:val="none" w:sz="0" w:space="0" w:color="auto"/>
            <w:bottom w:val="none" w:sz="0" w:space="0" w:color="auto"/>
            <w:right w:val="none" w:sz="0" w:space="0" w:color="auto"/>
          </w:divBdr>
          <w:divsChild>
            <w:div w:id="1760364264">
              <w:marLeft w:val="737"/>
              <w:marRight w:val="0"/>
              <w:marTop w:val="0"/>
              <w:marBottom w:val="0"/>
              <w:divBdr>
                <w:top w:val="none" w:sz="0" w:space="0" w:color="auto"/>
                <w:left w:val="none" w:sz="0" w:space="0" w:color="auto"/>
                <w:bottom w:val="none" w:sz="0" w:space="0" w:color="auto"/>
                <w:right w:val="none" w:sz="0" w:space="0" w:color="auto"/>
              </w:divBdr>
            </w:div>
            <w:div w:id="2135174705">
              <w:marLeft w:val="737"/>
              <w:marRight w:val="0"/>
              <w:marTop w:val="0"/>
              <w:marBottom w:val="0"/>
              <w:divBdr>
                <w:top w:val="none" w:sz="0" w:space="0" w:color="auto"/>
                <w:left w:val="none" w:sz="0" w:space="0" w:color="auto"/>
                <w:bottom w:val="none" w:sz="0" w:space="0" w:color="auto"/>
                <w:right w:val="none" w:sz="0" w:space="0" w:color="auto"/>
              </w:divBdr>
            </w:div>
            <w:div w:id="326833067">
              <w:marLeft w:val="737"/>
              <w:marRight w:val="0"/>
              <w:marTop w:val="0"/>
              <w:marBottom w:val="0"/>
              <w:divBdr>
                <w:top w:val="none" w:sz="0" w:space="0" w:color="auto"/>
                <w:left w:val="none" w:sz="0" w:space="0" w:color="auto"/>
                <w:bottom w:val="none" w:sz="0" w:space="0" w:color="auto"/>
                <w:right w:val="none" w:sz="0" w:space="0" w:color="auto"/>
              </w:divBdr>
            </w:div>
            <w:div w:id="548537254">
              <w:marLeft w:val="737"/>
              <w:marRight w:val="0"/>
              <w:marTop w:val="0"/>
              <w:marBottom w:val="0"/>
              <w:divBdr>
                <w:top w:val="none" w:sz="0" w:space="0" w:color="auto"/>
                <w:left w:val="none" w:sz="0" w:space="0" w:color="auto"/>
                <w:bottom w:val="none" w:sz="0" w:space="0" w:color="auto"/>
                <w:right w:val="none" w:sz="0" w:space="0" w:color="auto"/>
              </w:divBdr>
            </w:div>
            <w:div w:id="7023536">
              <w:marLeft w:val="737"/>
              <w:marRight w:val="0"/>
              <w:marTop w:val="0"/>
              <w:marBottom w:val="0"/>
              <w:divBdr>
                <w:top w:val="none" w:sz="0" w:space="0" w:color="auto"/>
                <w:left w:val="none" w:sz="0" w:space="0" w:color="auto"/>
                <w:bottom w:val="none" w:sz="0" w:space="0" w:color="auto"/>
                <w:right w:val="none" w:sz="0" w:space="0" w:color="auto"/>
              </w:divBdr>
            </w:div>
            <w:div w:id="136144304">
              <w:marLeft w:val="737"/>
              <w:marRight w:val="0"/>
              <w:marTop w:val="0"/>
              <w:marBottom w:val="0"/>
              <w:divBdr>
                <w:top w:val="none" w:sz="0" w:space="0" w:color="auto"/>
                <w:left w:val="none" w:sz="0" w:space="0" w:color="auto"/>
                <w:bottom w:val="none" w:sz="0" w:space="0" w:color="auto"/>
                <w:right w:val="none" w:sz="0" w:space="0" w:color="auto"/>
              </w:divBdr>
            </w:div>
          </w:divsChild>
        </w:div>
      </w:divsChild>
    </w:div>
    <w:div w:id="1056465190">
      <w:marLeft w:val="0"/>
      <w:marRight w:val="0"/>
      <w:marTop w:val="0"/>
      <w:marBottom w:val="0"/>
      <w:divBdr>
        <w:top w:val="none" w:sz="0" w:space="0" w:color="auto"/>
        <w:left w:val="none" w:sz="0" w:space="0" w:color="auto"/>
        <w:bottom w:val="none" w:sz="0" w:space="0" w:color="auto"/>
        <w:right w:val="none" w:sz="0" w:space="0" w:color="auto"/>
      </w:divBdr>
      <w:divsChild>
        <w:div w:id="1056465217">
          <w:marLeft w:val="0"/>
          <w:marRight w:val="0"/>
          <w:marTop w:val="0"/>
          <w:marBottom w:val="0"/>
          <w:divBdr>
            <w:top w:val="single" w:sz="6" w:space="5" w:color="E0E0E0"/>
            <w:left w:val="none" w:sz="0" w:space="0" w:color="auto"/>
            <w:bottom w:val="none" w:sz="0" w:space="0" w:color="auto"/>
            <w:right w:val="none" w:sz="0" w:space="0" w:color="auto"/>
          </w:divBdr>
          <w:divsChild>
            <w:div w:id="1056465191">
              <w:marLeft w:val="0"/>
              <w:marRight w:val="0"/>
              <w:marTop w:val="0"/>
              <w:marBottom w:val="0"/>
              <w:divBdr>
                <w:top w:val="none" w:sz="0" w:space="0" w:color="auto"/>
                <w:left w:val="none" w:sz="0" w:space="0" w:color="auto"/>
                <w:bottom w:val="none" w:sz="0" w:space="0" w:color="auto"/>
                <w:right w:val="none" w:sz="0" w:space="0" w:color="auto"/>
              </w:divBdr>
            </w:div>
            <w:div w:id="10564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5193">
      <w:marLeft w:val="0"/>
      <w:marRight w:val="0"/>
      <w:marTop w:val="0"/>
      <w:marBottom w:val="0"/>
      <w:divBdr>
        <w:top w:val="none" w:sz="0" w:space="0" w:color="auto"/>
        <w:left w:val="none" w:sz="0" w:space="0" w:color="auto"/>
        <w:bottom w:val="none" w:sz="0" w:space="0" w:color="auto"/>
        <w:right w:val="none" w:sz="0" w:space="0" w:color="auto"/>
      </w:divBdr>
      <w:divsChild>
        <w:div w:id="1056465202">
          <w:marLeft w:val="0"/>
          <w:marRight w:val="0"/>
          <w:marTop w:val="0"/>
          <w:marBottom w:val="0"/>
          <w:divBdr>
            <w:top w:val="none" w:sz="0" w:space="0" w:color="auto"/>
            <w:left w:val="none" w:sz="0" w:space="0" w:color="auto"/>
            <w:bottom w:val="none" w:sz="0" w:space="0" w:color="auto"/>
            <w:right w:val="none" w:sz="0" w:space="0" w:color="auto"/>
          </w:divBdr>
        </w:div>
      </w:divsChild>
    </w:div>
    <w:div w:id="1056465198">
      <w:marLeft w:val="0"/>
      <w:marRight w:val="0"/>
      <w:marTop w:val="0"/>
      <w:marBottom w:val="0"/>
      <w:divBdr>
        <w:top w:val="none" w:sz="0" w:space="0" w:color="auto"/>
        <w:left w:val="none" w:sz="0" w:space="0" w:color="auto"/>
        <w:bottom w:val="none" w:sz="0" w:space="0" w:color="auto"/>
        <w:right w:val="none" w:sz="0" w:space="0" w:color="auto"/>
      </w:divBdr>
      <w:divsChild>
        <w:div w:id="1056465206">
          <w:marLeft w:val="0"/>
          <w:marRight w:val="0"/>
          <w:marTop w:val="100"/>
          <w:marBottom w:val="100"/>
          <w:divBdr>
            <w:top w:val="none" w:sz="0" w:space="0" w:color="auto"/>
            <w:left w:val="none" w:sz="0" w:space="0" w:color="auto"/>
            <w:bottom w:val="none" w:sz="0" w:space="0" w:color="auto"/>
            <w:right w:val="none" w:sz="0" w:space="0" w:color="auto"/>
          </w:divBdr>
          <w:divsChild>
            <w:div w:id="1056465205">
              <w:marLeft w:val="0"/>
              <w:marRight w:val="0"/>
              <w:marTop w:val="0"/>
              <w:marBottom w:val="0"/>
              <w:divBdr>
                <w:top w:val="none" w:sz="0" w:space="0" w:color="auto"/>
                <w:left w:val="none" w:sz="0" w:space="0" w:color="auto"/>
                <w:bottom w:val="none" w:sz="0" w:space="0" w:color="auto"/>
                <w:right w:val="none" w:sz="0" w:space="0" w:color="auto"/>
              </w:divBdr>
              <w:divsChild>
                <w:div w:id="1056465199">
                  <w:marLeft w:val="0"/>
                  <w:marRight w:val="0"/>
                  <w:marTop w:val="0"/>
                  <w:marBottom w:val="0"/>
                  <w:divBdr>
                    <w:top w:val="none" w:sz="0" w:space="0" w:color="auto"/>
                    <w:left w:val="none" w:sz="0" w:space="0" w:color="auto"/>
                    <w:bottom w:val="none" w:sz="0" w:space="0" w:color="auto"/>
                    <w:right w:val="none" w:sz="0" w:space="0" w:color="auto"/>
                  </w:divBdr>
                  <w:divsChild>
                    <w:div w:id="1056465220">
                      <w:marLeft w:val="0"/>
                      <w:marRight w:val="0"/>
                      <w:marTop w:val="0"/>
                      <w:marBottom w:val="0"/>
                      <w:divBdr>
                        <w:top w:val="none" w:sz="0" w:space="0" w:color="auto"/>
                        <w:left w:val="none" w:sz="0" w:space="0" w:color="auto"/>
                        <w:bottom w:val="none" w:sz="0" w:space="0" w:color="auto"/>
                        <w:right w:val="none" w:sz="0" w:space="0" w:color="auto"/>
                      </w:divBdr>
                      <w:divsChild>
                        <w:div w:id="1056465218">
                          <w:marLeft w:val="0"/>
                          <w:marRight w:val="0"/>
                          <w:marTop w:val="0"/>
                          <w:marBottom w:val="0"/>
                          <w:divBdr>
                            <w:top w:val="none" w:sz="0" w:space="0" w:color="auto"/>
                            <w:left w:val="none" w:sz="0" w:space="0" w:color="auto"/>
                            <w:bottom w:val="none" w:sz="0" w:space="0" w:color="auto"/>
                            <w:right w:val="none" w:sz="0" w:space="0" w:color="auto"/>
                          </w:divBdr>
                        </w:div>
                        <w:div w:id="1056465219">
                          <w:marLeft w:val="0"/>
                          <w:marRight w:val="0"/>
                          <w:marTop w:val="0"/>
                          <w:marBottom w:val="0"/>
                          <w:divBdr>
                            <w:top w:val="none" w:sz="0" w:space="0" w:color="auto"/>
                            <w:left w:val="none" w:sz="0" w:space="0" w:color="auto"/>
                            <w:bottom w:val="none" w:sz="0" w:space="0" w:color="auto"/>
                            <w:right w:val="none" w:sz="0" w:space="0" w:color="auto"/>
                          </w:divBdr>
                          <w:divsChild>
                            <w:div w:id="10564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465200">
      <w:marLeft w:val="0"/>
      <w:marRight w:val="0"/>
      <w:marTop w:val="0"/>
      <w:marBottom w:val="0"/>
      <w:divBdr>
        <w:top w:val="none" w:sz="0" w:space="0" w:color="auto"/>
        <w:left w:val="none" w:sz="0" w:space="0" w:color="auto"/>
        <w:bottom w:val="none" w:sz="0" w:space="0" w:color="auto"/>
        <w:right w:val="none" w:sz="0" w:space="0" w:color="auto"/>
      </w:divBdr>
    </w:div>
    <w:div w:id="1056465203">
      <w:marLeft w:val="0"/>
      <w:marRight w:val="0"/>
      <w:marTop w:val="0"/>
      <w:marBottom w:val="0"/>
      <w:divBdr>
        <w:top w:val="none" w:sz="0" w:space="0" w:color="auto"/>
        <w:left w:val="none" w:sz="0" w:space="0" w:color="auto"/>
        <w:bottom w:val="none" w:sz="0" w:space="0" w:color="auto"/>
        <w:right w:val="none" w:sz="0" w:space="0" w:color="auto"/>
      </w:divBdr>
      <w:divsChild>
        <w:div w:id="1056465204">
          <w:marLeft w:val="0"/>
          <w:marRight w:val="0"/>
          <w:marTop w:val="0"/>
          <w:marBottom w:val="0"/>
          <w:divBdr>
            <w:top w:val="none" w:sz="0" w:space="0" w:color="auto"/>
            <w:left w:val="none" w:sz="0" w:space="0" w:color="auto"/>
            <w:bottom w:val="none" w:sz="0" w:space="0" w:color="auto"/>
            <w:right w:val="none" w:sz="0" w:space="0" w:color="auto"/>
          </w:divBdr>
        </w:div>
        <w:div w:id="1056465214">
          <w:marLeft w:val="0"/>
          <w:marRight w:val="0"/>
          <w:marTop w:val="0"/>
          <w:marBottom w:val="0"/>
          <w:divBdr>
            <w:top w:val="none" w:sz="0" w:space="0" w:color="auto"/>
            <w:left w:val="none" w:sz="0" w:space="0" w:color="auto"/>
            <w:bottom w:val="none" w:sz="0" w:space="0" w:color="auto"/>
            <w:right w:val="none" w:sz="0" w:space="0" w:color="auto"/>
          </w:divBdr>
        </w:div>
      </w:divsChild>
    </w:div>
    <w:div w:id="1056465213">
      <w:marLeft w:val="0"/>
      <w:marRight w:val="0"/>
      <w:marTop w:val="0"/>
      <w:marBottom w:val="0"/>
      <w:divBdr>
        <w:top w:val="none" w:sz="0" w:space="0" w:color="auto"/>
        <w:left w:val="none" w:sz="0" w:space="0" w:color="auto"/>
        <w:bottom w:val="none" w:sz="0" w:space="0" w:color="auto"/>
        <w:right w:val="none" w:sz="0" w:space="0" w:color="auto"/>
      </w:divBdr>
    </w:div>
    <w:div w:id="1056465215">
      <w:marLeft w:val="0"/>
      <w:marRight w:val="0"/>
      <w:marTop w:val="0"/>
      <w:marBottom w:val="0"/>
      <w:divBdr>
        <w:top w:val="none" w:sz="0" w:space="0" w:color="auto"/>
        <w:left w:val="none" w:sz="0" w:space="0" w:color="auto"/>
        <w:bottom w:val="none" w:sz="0" w:space="0" w:color="auto"/>
        <w:right w:val="none" w:sz="0" w:space="0" w:color="auto"/>
      </w:divBdr>
      <w:divsChild>
        <w:div w:id="1056465212">
          <w:marLeft w:val="0"/>
          <w:marRight w:val="0"/>
          <w:marTop w:val="100"/>
          <w:marBottom w:val="100"/>
          <w:divBdr>
            <w:top w:val="none" w:sz="0" w:space="0" w:color="auto"/>
            <w:left w:val="none" w:sz="0" w:space="0" w:color="auto"/>
            <w:bottom w:val="none" w:sz="0" w:space="0" w:color="auto"/>
            <w:right w:val="none" w:sz="0" w:space="0" w:color="auto"/>
          </w:divBdr>
          <w:divsChild>
            <w:div w:id="1056465192">
              <w:marLeft w:val="0"/>
              <w:marRight w:val="0"/>
              <w:marTop w:val="0"/>
              <w:marBottom w:val="0"/>
              <w:divBdr>
                <w:top w:val="none" w:sz="0" w:space="0" w:color="auto"/>
                <w:left w:val="none" w:sz="0" w:space="0" w:color="auto"/>
                <w:bottom w:val="none" w:sz="0" w:space="0" w:color="auto"/>
                <w:right w:val="none" w:sz="0" w:space="0" w:color="auto"/>
              </w:divBdr>
              <w:divsChild>
                <w:div w:id="1056465224">
                  <w:marLeft w:val="0"/>
                  <w:marRight w:val="0"/>
                  <w:marTop w:val="0"/>
                  <w:marBottom w:val="0"/>
                  <w:divBdr>
                    <w:top w:val="none" w:sz="0" w:space="0" w:color="auto"/>
                    <w:left w:val="none" w:sz="0" w:space="0" w:color="auto"/>
                    <w:bottom w:val="none" w:sz="0" w:space="0" w:color="auto"/>
                    <w:right w:val="none" w:sz="0" w:space="0" w:color="auto"/>
                  </w:divBdr>
                  <w:divsChild>
                    <w:div w:id="1056465226">
                      <w:marLeft w:val="0"/>
                      <w:marRight w:val="0"/>
                      <w:marTop w:val="0"/>
                      <w:marBottom w:val="0"/>
                      <w:divBdr>
                        <w:top w:val="none" w:sz="0" w:space="0" w:color="auto"/>
                        <w:left w:val="none" w:sz="0" w:space="0" w:color="auto"/>
                        <w:bottom w:val="none" w:sz="0" w:space="0" w:color="auto"/>
                        <w:right w:val="none" w:sz="0" w:space="0" w:color="auto"/>
                      </w:divBdr>
                      <w:divsChild>
                        <w:div w:id="1056465210">
                          <w:marLeft w:val="0"/>
                          <w:marRight w:val="0"/>
                          <w:marTop w:val="0"/>
                          <w:marBottom w:val="0"/>
                          <w:divBdr>
                            <w:top w:val="none" w:sz="0" w:space="0" w:color="auto"/>
                            <w:left w:val="none" w:sz="0" w:space="0" w:color="auto"/>
                            <w:bottom w:val="none" w:sz="0" w:space="0" w:color="auto"/>
                            <w:right w:val="none" w:sz="0" w:space="0" w:color="auto"/>
                          </w:divBdr>
                          <w:divsChild>
                            <w:div w:id="1056465196">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65216">
      <w:marLeft w:val="0"/>
      <w:marRight w:val="0"/>
      <w:marTop w:val="0"/>
      <w:marBottom w:val="0"/>
      <w:divBdr>
        <w:top w:val="none" w:sz="0" w:space="0" w:color="auto"/>
        <w:left w:val="none" w:sz="0" w:space="0" w:color="auto"/>
        <w:bottom w:val="none" w:sz="0" w:space="0" w:color="auto"/>
        <w:right w:val="none" w:sz="0" w:space="0" w:color="auto"/>
      </w:divBdr>
      <w:divsChild>
        <w:div w:id="1056465208">
          <w:marLeft w:val="0"/>
          <w:marRight w:val="0"/>
          <w:marTop w:val="0"/>
          <w:marBottom w:val="0"/>
          <w:divBdr>
            <w:top w:val="none" w:sz="0" w:space="0" w:color="auto"/>
            <w:left w:val="none" w:sz="0" w:space="0" w:color="auto"/>
            <w:bottom w:val="none" w:sz="0" w:space="0" w:color="auto"/>
            <w:right w:val="none" w:sz="0" w:space="0" w:color="auto"/>
          </w:divBdr>
        </w:div>
        <w:div w:id="1056465211">
          <w:marLeft w:val="0"/>
          <w:marRight w:val="0"/>
          <w:marTop w:val="0"/>
          <w:marBottom w:val="0"/>
          <w:divBdr>
            <w:top w:val="none" w:sz="0" w:space="0" w:color="auto"/>
            <w:left w:val="none" w:sz="0" w:space="0" w:color="auto"/>
            <w:bottom w:val="none" w:sz="0" w:space="0" w:color="auto"/>
            <w:right w:val="none" w:sz="0" w:space="0" w:color="auto"/>
          </w:divBdr>
        </w:div>
        <w:div w:id="1056465225">
          <w:marLeft w:val="0"/>
          <w:marRight w:val="0"/>
          <w:marTop w:val="0"/>
          <w:marBottom w:val="0"/>
          <w:divBdr>
            <w:top w:val="none" w:sz="0" w:space="0" w:color="auto"/>
            <w:left w:val="none" w:sz="0" w:space="0" w:color="auto"/>
            <w:bottom w:val="none" w:sz="0" w:space="0" w:color="auto"/>
            <w:right w:val="none" w:sz="0" w:space="0" w:color="auto"/>
          </w:divBdr>
        </w:div>
      </w:divsChild>
    </w:div>
    <w:div w:id="1056465222">
      <w:marLeft w:val="0"/>
      <w:marRight w:val="0"/>
      <w:marTop w:val="0"/>
      <w:marBottom w:val="0"/>
      <w:divBdr>
        <w:top w:val="none" w:sz="0" w:space="0" w:color="auto"/>
        <w:left w:val="none" w:sz="0" w:space="0" w:color="auto"/>
        <w:bottom w:val="none" w:sz="0" w:space="0" w:color="auto"/>
        <w:right w:val="none" w:sz="0" w:space="0" w:color="auto"/>
      </w:divBdr>
      <w:divsChild>
        <w:div w:id="1056465195">
          <w:marLeft w:val="0"/>
          <w:marRight w:val="0"/>
          <w:marTop w:val="0"/>
          <w:marBottom w:val="0"/>
          <w:divBdr>
            <w:top w:val="none" w:sz="0" w:space="0" w:color="auto"/>
            <w:left w:val="none" w:sz="0" w:space="0" w:color="auto"/>
            <w:bottom w:val="none" w:sz="0" w:space="0" w:color="auto"/>
            <w:right w:val="none" w:sz="0" w:space="0" w:color="auto"/>
          </w:divBdr>
        </w:div>
      </w:divsChild>
    </w:div>
    <w:div w:id="1056465223">
      <w:marLeft w:val="0"/>
      <w:marRight w:val="0"/>
      <w:marTop w:val="0"/>
      <w:marBottom w:val="0"/>
      <w:divBdr>
        <w:top w:val="none" w:sz="0" w:space="0" w:color="auto"/>
        <w:left w:val="none" w:sz="0" w:space="0" w:color="auto"/>
        <w:bottom w:val="none" w:sz="0" w:space="0" w:color="auto"/>
        <w:right w:val="none" w:sz="0" w:space="0" w:color="auto"/>
      </w:divBdr>
      <w:divsChild>
        <w:div w:id="1056465207">
          <w:marLeft w:val="0"/>
          <w:marRight w:val="0"/>
          <w:marTop w:val="0"/>
          <w:marBottom w:val="0"/>
          <w:divBdr>
            <w:top w:val="single" w:sz="6" w:space="5" w:color="E0E0E0"/>
            <w:left w:val="none" w:sz="0" w:space="0" w:color="auto"/>
            <w:bottom w:val="none" w:sz="0" w:space="0" w:color="auto"/>
            <w:right w:val="none" w:sz="0" w:space="0" w:color="auto"/>
          </w:divBdr>
          <w:divsChild>
            <w:div w:id="1056465194">
              <w:marLeft w:val="0"/>
              <w:marRight w:val="0"/>
              <w:marTop w:val="0"/>
              <w:marBottom w:val="0"/>
              <w:divBdr>
                <w:top w:val="none" w:sz="0" w:space="0" w:color="auto"/>
                <w:left w:val="none" w:sz="0" w:space="0" w:color="auto"/>
                <w:bottom w:val="none" w:sz="0" w:space="0" w:color="auto"/>
                <w:right w:val="none" w:sz="0" w:space="0" w:color="auto"/>
              </w:divBdr>
            </w:div>
            <w:div w:id="10564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4654">
      <w:bodyDiv w:val="1"/>
      <w:marLeft w:val="0"/>
      <w:marRight w:val="0"/>
      <w:marTop w:val="0"/>
      <w:marBottom w:val="0"/>
      <w:divBdr>
        <w:top w:val="none" w:sz="0" w:space="0" w:color="auto"/>
        <w:left w:val="none" w:sz="0" w:space="0" w:color="auto"/>
        <w:bottom w:val="none" w:sz="0" w:space="0" w:color="auto"/>
        <w:right w:val="none" w:sz="0" w:space="0" w:color="auto"/>
      </w:divBdr>
      <w:divsChild>
        <w:div w:id="851919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s.oecd.org/glossary/index.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c.gc.ca/subsnouvelles-newsubs/default.asp?lang=En&amp;n=C4E09AE7-1" TargetMode="External"/><Relationship Id="rId1" Type="http://schemas.openxmlformats.org/officeDocument/2006/relationships/hyperlink" Target="http://www.ec.gc.ca/subsnouvelles-newsubs/default.asp?lang=En&amp;n=E621534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5292</Words>
  <Characters>67501</Characters>
  <Application>Microsoft Office Word</Application>
  <DocSecurity>0</DocSecurity>
  <Lines>562</Lines>
  <Paragraphs>145</Paragraphs>
  <ScaleCrop>false</ScaleCrop>
  <HeadingPairs>
    <vt:vector size="2" baseType="variant">
      <vt:variant>
        <vt:lpstr>Title</vt:lpstr>
      </vt:variant>
      <vt:variant>
        <vt:i4>1</vt:i4>
      </vt:variant>
    </vt:vector>
  </HeadingPairs>
  <TitlesOfParts>
    <vt:vector size="1" baseType="lpstr">
      <vt:lpstr>Guidelines for the Responsible Conduct of Field or Greenhouse Studies Inoculated with Plant Pathogens</vt:lpstr>
    </vt:vector>
  </TitlesOfParts>
  <Company>Bayer</Company>
  <LinksUpToDate>false</LinksUpToDate>
  <CharactersWithSpaces>72648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Responsible Conduct of Field or Greenhouse Studies Inoculated with Plant Pathogens</dc:title>
  <dc:creator>Maria Trainer</dc:creator>
  <cp:lastModifiedBy>Errampalli, Deena</cp:lastModifiedBy>
  <cp:revision>3</cp:revision>
  <cp:lastPrinted>2014-03-24T16:17:00Z</cp:lastPrinted>
  <dcterms:created xsi:type="dcterms:W3CDTF">2014-12-11T19:45:00Z</dcterms:created>
  <dcterms:modified xsi:type="dcterms:W3CDTF">2014-12-11T19:51:00Z</dcterms:modified>
</cp:coreProperties>
</file>